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60" w:rsidRDefault="00E33808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2235A">
        <w:rPr>
          <w:rFonts w:cs="Arial"/>
          <w:sz w:val="22"/>
          <w:szCs w:val="22"/>
        </w:rPr>
        <w:t xml:space="preserve">             </w:t>
      </w:r>
      <w:r w:rsidR="0042235A" w:rsidRPr="00564464">
        <w:rPr>
          <w:rFonts w:cs="Arial"/>
          <w:sz w:val="22"/>
          <w:szCs w:val="22"/>
          <w:lang w:val="en-GB"/>
        </w:rPr>
        <w:tab/>
      </w:r>
      <w:r w:rsidR="0042235A" w:rsidRPr="00564464">
        <w:rPr>
          <w:rFonts w:cs="Arial"/>
          <w:sz w:val="22"/>
          <w:szCs w:val="22"/>
          <w:lang w:val="en-GB"/>
        </w:rPr>
        <w:tab/>
      </w:r>
    </w:p>
    <w:p w:rsidR="002F1CDE" w:rsidRDefault="002F1CDE" w:rsidP="002F1CDE">
      <w:pPr>
        <w:tabs>
          <w:tab w:val="center" w:pos="1701"/>
          <w:tab w:val="left" w:pos="3705"/>
          <w:tab w:val="left" w:pos="6570"/>
          <w:tab w:val="center" w:pos="7920"/>
        </w:tabs>
        <w:jc w:val="center"/>
      </w:pPr>
      <w:r>
        <w:rPr>
          <w:noProof/>
          <w:lang w:val="el-GR" w:eastAsia="el-GR"/>
        </w:rPr>
        <w:drawing>
          <wp:inline distT="0" distB="0" distL="0" distR="0">
            <wp:extent cx="647700" cy="6477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DE" w:rsidRDefault="002F1CDE" w:rsidP="002F1CD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sz w:val="4"/>
          <w:szCs w:val="4"/>
        </w:rPr>
      </w:pPr>
    </w:p>
    <w:p w:rsidR="002F1CDE" w:rsidRDefault="002F1CDE" w:rsidP="002F1CD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sz w:val="2"/>
          <w:szCs w:val="2"/>
        </w:rPr>
      </w:pPr>
    </w:p>
    <w:p w:rsidR="002F1CDE" w:rsidRDefault="002F1CDE" w:rsidP="002F1CDE">
      <w:pPr>
        <w:tabs>
          <w:tab w:val="center" w:pos="1701"/>
          <w:tab w:val="left" w:pos="3705"/>
          <w:tab w:val="left" w:pos="6570"/>
          <w:tab w:val="center" w:pos="79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REPUBLIC OF CYPRUS</w:t>
      </w:r>
    </w:p>
    <w:p w:rsidR="001D449E" w:rsidRDefault="00EF35FF" w:rsidP="00AD7C3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SHIPPING </w:t>
      </w:r>
      <w:r w:rsidR="00D3352D" w:rsidRPr="00D3352D">
        <w:rPr>
          <w:rFonts w:ascii="Arial" w:hAnsi="Arial" w:cs="Arial"/>
          <w:b/>
          <w:sz w:val="20"/>
          <w:szCs w:val="20"/>
        </w:rPr>
        <w:t>DEPUTY MINISTRY</w:t>
      </w:r>
    </w:p>
    <w:p w:rsidR="001B773E" w:rsidRPr="002F1CDE" w:rsidRDefault="00AD7C3E" w:rsidP="00FC1A60">
      <w:pPr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135255</wp:posOffset>
                </wp:positionV>
                <wp:extent cx="5158740" cy="5867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C4" w:rsidRPr="00666FDA" w:rsidRDefault="00FE46C4" w:rsidP="001B77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Maritime L</w:t>
                            </w:r>
                            <w:r w:rsidRPr="00666F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abour Convention, 2006</w:t>
                            </w:r>
                          </w:p>
                          <w:p w:rsidR="00FE46C4" w:rsidRPr="00666FDA" w:rsidRDefault="00FE46C4" w:rsidP="001B77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66F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Declaration of Maritime Labour Compliance – Part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0.65pt;width:406.2pt;height:4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n+gA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" stroked="f">
                <v:textbox>
                  <w:txbxContent>
                    <w:p w:rsidR="00FE46C4" w:rsidRPr="00666FDA" w:rsidRDefault="00FE46C4" w:rsidP="001B77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Maritime L</w:t>
                      </w:r>
                      <w:r w:rsidRPr="00666FD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abour Convention, 2006</w:t>
                      </w:r>
                    </w:p>
                    <w:p w:rsidR="00FE46C4" w:rsidRPr="00666FDA" w:rsidRDefault="00FE46C4" w:rsidP="001B77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66FD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Declaration of Maritime Labour Compliance – Part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122555</wp:posOffset>
                </wp:positionV>
                <wp:extent cx="1737360" cy="29591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C4" w:rsidRPr="001B773E" w:rsidRDefault="00FE46C4" w:rsidP="001B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50.55pt;margin-top:9.65pt;width:136.8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NG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" stroked="f">
                <v:textbox>
                  <w:txbxContent>
                    <w:p w:rsidR="00FE46C4" w:rsidRPr="001B773E" w:rsidRDefault="00FE46C4" w:rsidP="001B773E"/>
                  </w:txbxContent>
                </v:textbox>
              </v:shape>
            </w:pict>
          </mc:Fallback>
        </mc:AlternateContent>
      </w:r>
    </w:p>
    <w:p w:rsidR="001B773E" w:rsidRDefault="001B773E" w:rsidP="00FC1A60">
      <w:pPr>
        <w:rPr>
          <w:rFonts w:cs="Arial"/>
          <w:sz w:val="22"/>
          <w:szCs w:val="22"/>
          <w:lang w:val="en-GB"/>
        </w:rPr>
      </w:pPr>
    </w:p>
    <w:p w:rsidR="001B773E" w:rsidRDefault="001B773E" w:rsidP="00FC1A60">
      <w:pPr>
        <w:rPr>
          <w:rFonts w:cs="Arial"/>
          <w:sz w:val="22"/>
          <w:szCs w:val="22"/>
          <w:lang w:val="en-GB"/>
        </w:rPr>
      </w:pPr>
    </w:p>
    <w:p w:rsidR="001B773E" w:rsidRDefault="001B773E" w:rsidP="00FC1A60">
      <w:pPr>
        <w:rPr>
          <w:rFonts w:cs="Arial"/>
          <w:sz w:val="22"/>
          <w:szCs w:val="22"/>
          <w:lang w:val="en-GB"/>
        </w:rPr>
      </w:pPr>
    </w:p>
    <w:p w:rsidR="001B773E" w:rsidRDefault="001B773E" w:rsidP="00FC1A60">
      <w:pPr>
        <w:rPr>
          <w:rFonts w:cs="Arial"/>
          <w:sz w:val="22"/>
          <w:szCs w:val="22"/>
          <w:lang w:val="en-GB"/>
        </w:rPr>
      </w:pPr>
    </w:p>
    <w:p w:rsidR="00874CF1" w:rsidRPr="001B773E" w:rsidRDefault="001B773E" w:rsidP="001B773E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cs="Arial"/>
          <w:i/>
          <w:sz w:val="22"/>
          <w:szCs w:val="22"/>
          <w:lang w:val="en-GB"/>
        </w:rPr>
        <w:t xml:space="preserve">                                   </w:t>
      </w:r>
      <w:r w:rsidR="0042235A" w:rsidRPr="00564464">
        <w:rPr>
          <w:rFonts w:cs="Arial"/>
          <w:i/>
          <w:sz w:val="22"/>
          <w:szCs w:val="22"/>
          <w:lang w:val="en-GB"/>
        </w:rPr>
        <w:t xml:space="preserve"> </w:t>
      </w:r>
      <w:r w:rsidR="0042235A" w:rsidRPr="00564464">
        <w:rPr>
          <w:rFonts w:ascii="Arial" w:hAnsi="Arial" w:cs="Arial"/>
          <w:i/>
          <w:sz w:val="20"/>
          <w:szCs w:val="20"/>
          <w:lang w:val="en-GB"/>
        </w:rPr>
        <w:t>(Note: This</w:t>
      </w:r>
      <w:r w:rsidR="00F434A3">
        <w:rPr>
          <w:rFonts w:ascii="Arial" w:hAnsi="Arial" w:cs="Arial"/>
          <w:i/>
          <w:sz w:val="20"/>
          <w:szCs w:val="20"/>
          <w:lang w:val="en-GB"/>
        </w:rPr>
        <w:t xml:space="preserve"> Declaration must be attached </w:t>
      </w:r>
      <w:r w:rsidR="0042235A" w:rsidRPr="00564464">
        <w:rPr>
          <w:rFonts w:ascii="Arial" w:hAnsi="Arial" w:cs="Arial"/>
          <w:i/>
          <w:sz w:val="20"/>
          <w:szCs w:val="20"/>
          <w:lang w:val="en-GB"/>
        </w:rPr>
        <w:t xml:space="preserve">to the ship’s Maritime Labour Certificate) </w:t>
      </w:r>
    </w:p>
    <w:p w:rsidR="0042235A" w:rsidRPr="00564464" w:rsidRDefault="0042235A" w:rsidP="0042235A">
      <w:pPr>
        <w:rPr>
          <w:rFonts w:ascii="Arial" w:hAnsi="Arial" w:cs="Arial"/>
          <w:sz w:val="20"/>
          <w:szCs w:val="20"/>
          <w:lang w:val="en-GB"/>
        </w:rPr>
      </w:pPr>
    </w:p>
    <w:p w:rsidR="0042235A" w:rsidRPr="00564464" w:rsidRDefault="0042235A" w:rsidP="0042235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Issued under the autho</w:t>
      </w:r>
      <w:r w:rsidR="001B773E">
        <w:rPr>
          <w:rFonts w:ascii="Arial" w:hAnsi="Arial" w:cs="Arial"/>
          <w:sz w:val="20"/>
          <w:szCs w:val="20"/>
          <w:lang w:val="en-GB"/>
        </w:rPr>
        <w:t>rity of the Government of the Republic of Cyprus</w:t>
      </w:r>
    </w:p>
    <w:p w:rsidR="0042235A" w:rsidRPr="00564464" w:rsidRDefault="0042235A" w:rsidP="0042235A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42235A" w:rsidRPr="00564464" w:rsidRDefault="0042235A" w:rsidP="0042235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 xml:space="preserve">With respect to the provisions of the </w:t>
      </w:r>
      <w:r w:rsidR="00666FDA" w:rsidRPr="00564464">
        <w:rPr>
          <w:rFonts w:ascii="Arial" w:hAnsi="Arial" w:cs="Arial"/>
          <w:sz w:val="20"/>
          <w:szCs w:val="20"/>
          <w:lang w:val="en-GB"/>
        </w:rPr>
        <w:t>M</w:t>
      </w:r>
      <w:r w:rsidRPr="00564464">
        <w:rPr>
          <w:rFonts w:ascii="Arial" w:hAnsi="Arial" w:cs="Arial"/>
          <w:sz w:val="20"/>
          <w:szCs w:val="20"/>
          <w:lang w:val="en-GB"/>
        </w:rPr>
        <w:t>aritime Labour Convention, 2006, the following reference</w:t>
      </w:r>
      <w:r w:rsidR="00B93369" w:rsidRPr="00564464">
        <w:rPr>
          <w:rFonts w:ascii="Arial" w:hAnsi="Arial" w:cs="Arial"/>
          <w:sz w:val="20"/>
          <w:szCs w:val="20"/>
          <w:lang w:val="en-GB"/>
        </w:rPr>
        <w:t>d</w:t>
      </w:r>
      <w:r w:rsidRPr="00564464">
        <w:rPr>
          <w:rFonts w:ascii="Arial" w:hAnsi="Arial" w:cs="Arial"/>
          <w:sz w:val="20"/>
          <w:szCs w:val="20"/>
          <w:lang w:val="en-GB"/>
        </w:rPr>
        <w:t xml:space="preserve"> ship:</w:t>
      </w:r>
    </w:p>
    <w:p w:rsidR="0042235A" w:rsidRPr="00D4336A" w:rsidRDefault="0042235A" w:rsidP="0042235A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247"/>
        <w:gridCol w:w="3248"/>
      </w:tblGrid>
      <w:tr w:rsidR="0042235A" w:rsidRPr="002C37BB" w:rsidTr="002C37BB">
        <w:tc>
          <w:tcPr>
            <w:tcW w:w="3321" w:type="dxa"/>
          </w:tcPr>
          <w:p w:rsidR="0042235A" w:rsidRPr="002C37BB" w:rsidRDefault="0042235A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>Name of ship</w:t>
            </w:r>
          </w:p>
        </w:tc>
        <w:tc>
          <w:tcPr>
            <w:tcW w:w="3321" w:type="dxa"/>
          </w:tcPr>
          <w:p w:rsidR="0042235A" w:rsidRPr="002C37BB" w:rsidRDefault="0042235A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>IMO number</w:t>
            </w:r>
          </w:p>
        </w:tc>
        <w:tc>
          <w:tcPr>
            <w:tcW w:w="3321" w:type="dxa"/>
          </w:tcPr>
          <w:p w:rsidR="0042235A" w:rsidRPr="002C37BB" w:rsidRDefault="0042235A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>Gross tonnage</w:t>
            </w:r>
          </w:p>
        </w:tc>
      </w:tr>
      <w:tr w:rsidR="0042235A" w:rsidRPr="002C37BB" w:rsidTr="002C37BB">
        <w:tc>
          <w:tcPr>
            <w:tcW w:w="3321" w:type="dxa"/>
          </w:tcPr>
          <w:p w:rsidR="0042235A" w:rsidRPr="002C37BB" w:rsidRDefault="0042235A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64464" w:rsidRPr="002C37BB" w:rsidRDefault="00564464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:rsidR="0042235A" w:rsidRPr="002C37BB" w:rsidRDefault="0042235A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:rsidR="0042235A" w:rsidRPr="002C37BB" w:rsidRDefault="0042235A" w:rsidP="002C37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2235A" w:rsidRPr="00D4336A" w:rsidRDefault="0042235A" w:rsidP="0042235A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42235A" w:rsidRPr="00564464" w:rsidRDefault="0042235A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564464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Pr="00564464">
        <w:rPr>
          <w:rFonts w:ascii="Arial" w:hAnsi="Arial" w:cs="Arial"/>
          <w:sz w:val="20"/>
          <w:szCs w:val="20"/>
          <w:lang w:val="en-GB"/>
        </w:rPr>
        <w:t xml:space="preserve"> maintained in accordance with standard A5.1.3 of the Convention.</w:t>
      </w:r>
    </w:p>
    <w:p w:rsidR="00666FDA" w:rsidRPr="00564464" w:rsidRDefault="00666FDA">
      <w:pPr>
        <w:rPr>
          <w:rFonts w:ascii="Arial" w:hAnsi="Arial" w:cs="Arial"/>
          <w:sz w:val="20"/>
          <w:szCs w:val="20"/>
          <w:lang w:val="en-GB"/>
        </w:rPr>
      </w:pPr>
    </w:p>
    <w:p w:rsidR="003F2F30" w:rsidRPr="00564464" w:rsidRDefault="004940B7">
      <w:pPr>
        <w:rPr>
          <w:rFonts w:ascii="Arial" w:hAnsi="Arial" w:cs="Arial"/>
          <w:sz w:val="20"/>
          <w:szCs w:val="20"/>
          <w:lang w:val="en-GB"/>
        </w:rPr>
      </w:pPr>
      <w:r w:rsidRPr="004940B7">
        <w:rPr>
          <w:rFonts w:ascii="Arial" w:hAnsi="Arial" w:cs="Arial"/>
          <w:color w:val="0000FF"/>
          <w:sz w:val="20"/>
          <w:szCs w:val="20"/>
          <w:lang w:val="en-GB"/>
        </w:rPr>
        <w:t xml:space="preserve">  </w:t>
      </w:r>
      <w:r w:rsidR="003F2F30" w:rsidRPr="00564464">
        <w:rPr>
          <w:rFonts w:ascii="Arial" w:hAnsi="Arial" w:cs="Arial"/>
          <w:sz w:val="20"/>
          <w:szCs w:val="20"/>
          <w:lang w:val="en-GB"/>
        </w:rPr>
        <w:t xml:space="preserve">The undersigned declares, on behalf of the abovementioned competent authority, </w:t>
      </w:r>
      <w:r w:rsidR="001B773E" w:rsidRPr="00564464">
        <w:rPr>
          <w:rFonts w:ascii="Arial" w:hAnsi="Arial" w:cs="Arial"/>
          <w:sz w:val="20"/>
          <w:szCs w:val="20"/>
          <w:lang w:val="en-GB"/>
        </w:rPr>
        <w:t>that:</w:t>
      </w:r>
    </w:p>
    <w:p w:rsidR="003F2F30" w:rsidRPr="00061A6E" w:rsidRDefault="003F2F30">
      <w:pPr>
        <w:rPr>
          <w:rFonts w:ascii="Arial" w:hAnsi="Arial" w:cs="Arial"/>
          <w:sz w:val="16"/>
          <w:szCs w:val="16"/>
          <w:lang w:val="en-GB"/>
        </w:rPr>
      </w:pPr>
    </w:p>
    <w:p w:rsidR="003F2F30" w:rsidRDefault="003F2F30" w:rsidP="003F2F3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the provisions of the Maritime Labour</w:t>
      </w:r>
      <w:r w:rsidR="009F333F" w:rsidRPr="00564464">
        <w:rPr>
          <w:rFonts w:ascii="Arial" w:hAnsi="Arial" w:cs="Arial"/>
          <w:sz w:val="20"/>
          <w:szCs w:val="20"/>
          <w:lang w:val="en-GB"/>
        </w:rPr>
        <w:t xml:space="preserve"> </w:t>
      </w:r>
      <w:r w:rsidRPr="00564464">
        <w:rPr>
          <w:rFonts w:ascii="Arial" w:hAnsi="Arial" w:cs="Arial"/>
          <w:sz w:val="20"/>
          <w:szCs w:val="20"/>
          <w:lang w:val="en-GB"/>
        </w:rPr>
        <w:t>Convention are fully embodied in the national requirements referred to below;</w:t>
      </w:r>
    </w:p>
    <w:p w:rsidR="00061A6E" w:rsidRPr="00061A6E" w:rsidRDefault="00061A6E" w:rsidP="00061A6E">
      <w:pPr>
        <w:rPr>
          <w:rFonts w:ascii="Arial" w:hAnsi="Arial" w:cs="Arial"/>
          <w:sz w:val="16"/>
          <w:szCs w:val="16"/>
          <w:lang w:val="en-GB"/>
        </w:rPr>
      </w:pPr>
    </w:p>
    <w:p w:rsidR="003F2F30" w:rsidRDefault="003F2F30" w:rsidP="003F2F3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these national requirements are contained in the national provisions referenced below; explanations concerning the content of those provisions are provided where necessary;</w:t>
      </w:r>
    </w:p>
    <w:p w:rsidR="00061A6E" w:rsidRPr="00061A6E" w:rsidRDefault="00061A6E" w:rsidP="00061A6E">
      <w:pPr>
        <w:rPr>
          <w:rFonts w:ascii="Arial" w:hAnsi="Arial" w:cs="Arial"/>
          <w:sz w:val="16"/>
          <w:szCs w:val="16"/>
          <w:lang w:val="en-GB"/>
        </w:rPr>
      </w:pPr>
    </w:p>
    <w:p w:rsidR="00B93369" w:rsidRPr="00EF3C48" w:rsidRDefault="003F2F30" w:rsidP="003F2F30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en-GB"/>
        </w:rPr>
      </w:pPr>
      <w:r w:rsidRPr="00EF3C48">
        <w:rPr>
          <w:rFonts w:ascii="Arial" w:hAnsi="Arial" w:cs="Arial"/>
          <w:sz w:val="20"/>
          <w:szCs w:val="20"/>
          <w:lang w:val="en-GB"/>
        </w:rPr>
        <w:t xml:space="preserve">the details of any substantial </w:t>
      </w:r>
      <w:r w:rsidR="009F333F" w:rsidRPr="00EF3C48">
        <w:rPr>
          <w:rFonts w:ascii="Arial" w:hAnsi="Arial" w:cs="Arial"/>
          <w:sz w:val="20"/>
          <w:szCs w:val="20"/>
          <w:lang w:val="en-GB"/>
        </w:rPr>
        <w:t>equivalencies</w:t>
      </w:r>
      <w:r w:rsidRPr="00EF3C48">
        <w:rPr>
          <w:rFonts w:ascii="Arial" w:hAnsi="Arial" w:cs="Arial"/>
          <w:sz w:val="20"/>
          <w:szCs w:val="20"/>
          <w:lang w:val="en-GB"/>
        </w:rPr>
        <w:t xml:space="preserve"> under Article VI, paragraphs 3 and 4, are provi</w:t>
      </w:r>
      <w:r w:rsidR="00804BB0">
        <w:rPr>
          <w:rFonts w:ascii="Arial" w:hAnsi="Arial" w:cs="Arial"/>
          <w:sz w:val="20"/>
          <w:szCs w:val="20"/>
          <w:lang w:val="en-GB"/>
        </w:rPr>
        <w:t xml:space="preserve">ded </w:t>
      </w:r>
      <w:r w:rsidR="00B93369" w:rsidRPr="00EF3C48">
        <w:rPr>
          <w:rFonts w:ascii="Arial" w:hAnsi="Arial" w:cs="Arial"/>
          <w:sz w:val="20"/>
          <w:szCs w:val="20"/>
          <w:lang w:val="en-GB"/>
        </w:rPr>
        <w:t xml:space="preserve"> in the section </w:t>
      </w:r>
      <w:r w:rsidR="00AF2ADC">
        <w:rPr>
          <w:rFonts w:ascii="Arial" w:hAnsi="Arial" w:cs="Arial"/>
          <w:sz w:val="20"/>
          <w:szCs w:val="20"/>
          <w:lang w:val="en-GB"/>
        </w:rPr>
        <w:t>provided for this purpose below;</w:t>
      </w:r>
      <w:r w:rsidR="00B93369" w:rsidRPr="00EF3C4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61A6E" w:rsidRPr="00061A6E" w:rsidRDefault="00061A6E" w:rsidP="00061A6E">
      <w:pPr>
        <w:rPr>
          <w:rFonts w:ascii="Arial" w:hAnsi="Arial" w:cs="Arial"/>
          <w:b/>
          <w:i/>
          <w:color w:val="666699"/>
          <w:sz w:val="16"/>
          <w:szCs w:val="16"/>
          <w:lang w:val="en-GB"/>
        </w:rPr>
      </w:pPr>
    </w:p>
    <w:p w:rsidR="003F2F30" w:rsidRDefault="003F2F30" w:rsidP="003F2F3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 xml:space="preserve"> any exemptions granted by the competent authority in accordance with Title 3 are clearly indicated in the section provided for this purpose below; and</w:t>
      </w:r>
    </w:p>
    <w:p w:rsidR="00061A6E" w:rsidRPr="00061A6E" w:rsidRDefault="00061A6E" w:rsidP="00061A6E">
      <w:pPr>
        <w:rPr>
          <w:rFonts w:ascii="Arial" w:hAnsi="Arial" w:cs="Arial"/>
          <w:sz w:val="16"/>
          <w:szCs w:val="16"/>
          <w:lang w:val="en-GB"/>
        </w:rPr>
      </w:pPr>
    </w:p>
    <w:p w:rsidR="003F2F30" w:rsidRPr="00564464" w:rsidRDefault="003F2F30" w:rsidP="003F2F3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proofErr w:type="gramStart"/>
      <w:r w:rsidRPr="00564464">
        <w:rPr>
          <w:rFonts w:ascii="Arial" w:hAnsi="Arial" w:cs="Arial"/>
          <w:sz w:val="20"/>
          <w:szCs w:val="20"/>
          <w:lang w:val="en-GB"/>
        </w:rPr>
        <w:t>any</w:t>
      </w:r>
      <w:proofErr w:type="gramEnd"/>
      <w:r w:rsidRPr="00564464">
        <w:rPr>
          <w:rFonts w:ascii="Arial" w:hAnsi="Arial" w:cs="Arial"/>
          <w:sz w:val="20"/>
          <w:szCs w:val="20"/>
          <w:lang w:val="en-GB"/>
        </w:rPr>
        <w:t xml:space="preserve"> ship-type specific requirements under national legislation are also referenced under the requirements </w:t>
      </w:r>
      <w:r w:rsidR="009F333F" w:rsidRPr="00564464">
        <w:rPr>
          <w:rFonts w:ascii="Arial" w:hAnsi="Arial" w:cs="Arial"/>
          <w:sz w:val="20"/>
          <w:szCs w:val="20"/>
          <w:lang w:val="en-GB"/>
        </w:rPr>
        <w:t>concerned</w:t>
      </w:r>
      <w:r w:rsidRPr="00564464">
        <w:rPr>
          <w:rFonts w:ascii="Arial" w:hAnsi="Arial" w:cs="Arial"/>
          <w:sz w:val="20"/>
          <w:szCs w:val="20"/>
          <w:lang w:val="en-GB"/>
        </w:rPr>
        <w:t>.</w:t>
      </w:r>
    </w:p>
    <w:p w:rsidR="003D6D68" w:rsidRPr="00D4336A" w:rsidRDefault="003D6D68">
      <w:pPr>
        <w:rPr>
          <w:sz w:val="16"/>
          <w:szCs w:val="16"/>
          <w:lang w:val="en-GB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193"/>
      </w:tblGrid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Minimum age (Regulation 1.1) </w:t>
            </w:r>
          </w:p>
        </w:tc>
        <w:tc>
          <w:tcPr>
            <w:tcW w:w="5193" w:type="dxa"/>
          </w:tcPr>
          <w:p w:rsidR="002D2263" w:rsidRPr="00C149EA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OLE_LINK1"/>
            <w:r w:rsidRPr="00C149EA">
              <w:rPr>
                <w:rFonts w:ascii="Arial" w:hAnsi="Arial" w:cs="Arial"/>
                <w:sz w:val="18"/>
                <w:szCs w:val="18"/>
                <w:lang w:val="en-GB"/>
              </w:rPr>
              <w:t>The MLC, 2006 Ratification</w:t>
            </w:r>
            <w:r w:rsidR="00E74318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Law </w:t>
            </w:r>
            <w:r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  <w:r w:rsidR="002D2263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>Part I</w:t>
            </w:r>
            <w:r w:rsidR="00BA5A99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bookmarkEnd w:id="0"/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>Art</w:t>
            </w:r>
            <w:r w:rsidR="00BA1EE7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. 20 </w:t>
            </w:r>
            <w:r w:rsidR="002D2263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sets </w:t>
            </w:r>
            <w:r w:rsidR="00527763" w:rsidRPr="00C149EA">
              <w:rPr>
                <w:rFonts w:ascii="Arial" w:hAnsi="Arial" w:cs="Arial"/>
                <w:sz w:val="18"/>
                <w:szCs w:val="18"/>
                <w:lang w:val="en-GB"/>
              </w:rPr>
              <w:t>minimum age</w:t>
            </w:r>
            <w:r w:rsidR="00B0115C">
              <w:rPr>
                <w:rFonts w:ascii="Arial" w:hAnsi="Arial" w:cs="Arial"/>
                <w:sz w:val="18"/>
                <w:szCs w:val="18"/>
                <w:lang w:val="en-GB"/>
              </w:rPr>
              <w:t xml:space="preserve"> of</w:t>
            </w:r>
            <w:r w:rsidR="00BA5A99">
              <w:rPr>
                <w:rFonts w:ascii="Arial" w:hAnsi="Arial" w:cs="Arial"/>
                <w:sz w:val="18"/>
                <w:szCs w:val="18"/>
                <w:lang w:val="en-GB"/>
              </w:rPr>
              <w:t xml:space="preserve"> seafarers 16 years and Part XV Art.105</w:t>
            </w:r>
            <w:r w:rsidR="00B0115C">
              <w:rPr>
                <w:rFonts w:ascii="Arial" w:hAnsi="Arial" w:cs="Arial"/>
                <w:sz w:val="18"/>
                <w:szCs w:val="18"/>
                <w:lang w:val="en-GB"/>
              </w:rPr>
              <w:t xml:space="preserve"> sets minimum ship’s cook age 18 years.</w:t>
            </w:r>
          </w:p>
          <w:p w:rsidR="008057D8" w:rsidRDefault="009503F3" w:rsidP="009503F3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49EA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>Part I</w:t>
            </w:r>
            <w:r w:rsidR="00BA5A99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Art</w:t>
            </w:r>
            <w:r w:rsidR="00BA1EE7" w:rsidRPr="00C149EA">
              <w:rPr>
                <w:rFonts w:ascii="Arial" w:hAnsi="Arial" w:cs="Arial"/>
                <w:sz w:val="18"/>
                <w:szCs w:val="18"/>
                <w:lang w:val="en-GB"/>
              </w:rPr>
              <w:t>. 19 defines night as a period of 9 consecutive hours, including the period between midnight and 5 am.</w:t>
            </w:r>
            <w:r w:rsid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527763" w:rsidRPr="00CA0630" w:rsidRDefault="008057D8" w:rsidP="009503F3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9503F3" w:rsidRPr="00C149EA">
              <w:rPr>
                <w:rFonts w:ascii="Arial" w:hAnsi="Arial" w:cs="Arial"/>
                <w:sz w:val="18"/>
                <w:szCs w:val="18"/>
                <w:lang w:val="en-GB"/>
              </w:rPr>
              <w:t>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="009503F3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>Part I</w:t>
            </w:r>
            <w:r w:rsidR="002921FE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  <w:r w:rsidR="005336A0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Art</w:t>
            </w:r>
            <w:r w:rsidR="00527763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. 21 prohibits work that may pose in danger the health and safety </w:t>
            </w:r>
            <w:r w:rsidR="002D2263" w:rsidRPr="00C149EA">
              <w:rPr>
                <w:rFonts w:ascii="Arial" w:hAnsi="Arial" w:cs="Arial"/>
                <w:sz w:val="18"/>
                <w:szCs w:val="18"/>
                <w:lang w:val="en-GB"/>
              </w:rPr>
              <w:t>for under 18s</w:t>
            </w:r>
            <w:r w:rsidR="00527763" w:rsidRP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and Art. 22 restricts night work for under 18s.</w:t>
            </w:r>
          </w:p>
        </w:tc>
      </w:tr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Medical certification (Regulation 1.2)</w:t>
            </w:r>
          </w:p>
        </w:tc>
        <w:tc>
          <w:tcPr>
            <w:tcW w:w="5193" w:type="dxa"/>
          </w:tcPr>
          <w:p w:rsidR="001B773E" w:rsidRPr="008057D8" w:rsidRDefault="009503F3" w:rsidP="00AB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7D8">
              <w:rPr>
                <w:rFonts w:ascii="Arial" w:hAnsi="Arial" w:cs="Arial"/>
                <w:sz w:val="20"/>
                <w:szCs w:val="20"/>
                <w:lang w:val="en-GB"/>
              </w:rPr>
              <w:t>The ML</w:t>
            </w:r>
            <w:r w:rsidR="00F959C5">
              <w:rPr>
                <w:rFonts w:ascii="Arial" w:hAnsi="Arial" w:cs="Arial"/>
                <w:sz w:val="20"/>
                <w:szCs w:val="20"/>
                <w:lang w:val="en-GB"/>
              </w:rPr>
              <w:t>C, 2006 Ratification Law of 2012</w:t>
            </w:r>
            <w:r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21FE">
              <w:rPr>
                <w:rFonts w:ascii="Arial" w:hAnsi="Arial" w:cs="Arial"/>
                <w:sz w:val="20"/>
                <w:szCs w:val="20"/>
                <w:lang w:val="en-GB"/>
              </w:rPr>
              <w:t>Part IV Art. 24</w:t>
            </w:r>
            <w:r w:rsidR="00AB2CF7" w:rsidRPr="008057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921F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F240E1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505A" w:rsidRPr="008057D8">
              <w:rPr>
                <w:rFonts w:ascii="Arial" w:hAnsi="Arial" w:cs="Arial"/>
                <w:sz w:val="20"/>
                <w:szCs w:val="20"/>
                <w:lang w:val="en-GB"/>
              </w:rPr>
              <w:t>sets the</w:t>
            </w:r>
            <w:r w:rsidR="005336A0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</w:t>
            </w:r>
            <w:r w:rsidR="00094C5A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for medical </w:t>
            </w:r>
            <w:r w:rsidR="0080505A" w:rsidRPr="008057D8">
              <w:rPr>
                <w:rFonts w:ascii="Arial" w:hAnsi="Arial" w:cs="Arial"/>
                <w:sz w:val="20"/>
                <w:szCs w:val="20"/>
                <w:lang w:val="en-GB"/>
              </w:rPr>
              <w:t>examination and</w:t>
            </w:r>
            <w:r w:rsidR="00094C5A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certification and </w:t>
            </w:r>
            <w:r w:rsidR="002D2263" w:rsidRPr="008057D8">
              <w:rPr>
                <w:rFonts w:ascii="Arial" w:hAnsi="Arial" w:cs="Arial"/>
                <w:sz w:val="20"/>
                <w:szCs w:val="20"/>
                <w:lang w:val="en-GB"/>
              </w:rPr>
              <w:t>require</w:t>
            </w:r>
            <w:r w:rsidR="00AB2CF7" w:rsidRPr="008057D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2D2263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everyone working on board to have a recognized medical fitness certificate</w:t>
            </w:r>
            <w:r w:rsidR="00215868" w:rsidRPr="008057D8">
              <w:rPr>
                <w:rFonts w:ascii="Arial" w:hAnsi="Arial" w:cs="Arial"/>
                <w:sz w:val="20"/>
                <w:szCs w:val="20"/>
                <w:lang w:val="en-GB"/>
              </w:rPr>
              <w:t>, valid for no more than 2 years</w:t>
            </w:r>
            <w:r w:rsidR="00AB2CF7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for all seafarers </w:t>
            </w:r>
            <w:r w:rsidR="0080505A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AF2ADC" w:rsidRPr="008057D8">
              <w:rPr>
                <w:rFonts w:ascii="Arial" w:hAnsi="Arial" w:cs="Arial"/>
                <w:sz w:val="20"/>
                <w:szCs w:val="20"/>
                <w:lang w:val="en-GB"/>
              </w:rPr>
              <w:t>for no</w:t>
            </w:r>
            <w:r w:rsidR="00AB2CF7" w:rsidRPr="008057D8">
              <w:rPr>
                <w:rFonts w:ascii="Arial" w:hAnsi="Arial" w:cs="Arial"/>
                <w:sz w:val="20"/>
                <w:szCs w:val="20"/>
                <w:lang w:val="en-GB"/>
              </w:rPr>
              <w:t xml:space="preserve"> more than 1 year for under 18s.</w:t>
            </w:r>
          </w:p>
        </w:tc>
      </w:tr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Qualifications of seafarers (Regulation 1.3)</w:t>
            </w:r>
          </w:p>
        </w:tc>
        <w:tc>
          <w:tcPr>
            <w:tcW w:w="5193" w:type="dxa"/>
          </w:tcPr>
          <w:p w:rsidR="001B773E" w:rsidRPr="008057D8" w:rsidRDefault="009503F3" w:rsidP="00E74318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921FE">
              <w:rPr>
                <w:rFonts w:ascii="Arial" w:hAnsi="Arial" w:cs="Arial"/>
                <w:sz w:val="18"/>
                <w:szCs w:val="18"/>
                <w:lang w:val="en-GB"/>
              </w:rPr>
              <w:t>Part V</w:t>
            </w:r>
            <w:r w:rsidR="002D7D90">
              <w:rPr>
                <w:rFonts w:ascii="Arial" w:hAnsi="Arial" w:cs="Arial"/>
                <w:sz w:val="18"/>
                <w:szCs w:val="18"/>
                <w:lang w:val="en-GB"/>
              </w:rPr>
              <w:t xml:space="preserve"> Art. 31-35 </w:t>
            </w:r>
            <w:r w:rsidR="00E368EE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sets </w:t>
            </w:r>
            <w:r w:rsidR="00C528E9">
              <w:rPr>
                <w:rFonts w:ascii="Arial" w:hAnsi="Arial" w:cs="Arial"/>
                <w:sz w:val="18"/>
                <w:szCs w:val="18"/>
                <w:lang w:val="en-GB"/>
              </w:rPr>
              <w:t xml:space="preserve">training and </w:t>
            </w:r>
            <w:r w:rsidR="00E368EE" w:rsidRPr="008057D8">
              <w:rPr>
                <w:rFonts w:ascii="Arial" w:hAnsi="Arial" w:cs="Arial"/>
                <w:sz w:val="18"/>
                <w:szCs w:val="18"/>
                <w:lang w:val="en-GB"/>
              </w:rPr>
              <w:t>certification requirements</w:t>
            </w:r>
            <w:r w:rsidR="00232EE5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in accordance with </w:t>
            </w:r>
            <w:r w:rsidR="00E368EE" w:rsidRPr="008057D8">
              <w:rPr>
                <w:rFonts w:ascii="Arial" w:hAnsi="Arial" w:cs="Arial"/>
                <w:sz w:val="18"/>
                <w:szCs w:val="18"/>
                <w:lang w:val="en-GB"/>
              </w:rPr>
              <w:t>STCW 78</w:t>
            </w:r>
            <w:r w:rsidR="00264164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(as amended)</w:t>
            </w:r>
            <w:r w:rsidR="001B773E" w:rsidRPr="008057D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Seafarers’ employment agreements (Regulation 2.1)</w:t>
            </w:r>
          </w:p>
        </w:tc>
        <w:tc>
          <w:tcPr>
            <w:tcW w:w="5193" w:type="dxa"/>
          </w:tcPr>
          <w:p w:rsidR="00772797" w:rsidRPr="002C37BB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319CF">
              <w:rPr>
                <w:rFonts w:ascii="Arial" w:hAnsi="Arial" w:cs="Arial"/>
                <w:sz w:val="18"/>
                <w:szCs w:val="18"/>
                <w:lang w:val="en-GB"/>
              </w:rPr>
              <w:t>Part V</w:t>
            </w:r>
            <w:r w:rsidR="00B818BF">
              <w:rPr>
                <w:rFonts w:ascii="Arial" w:hAnsi="Arial" w:cs="Arial"/>
                <w:sz w:val="18"/>
                <w:szCs w:val="18"/>
                <w:lang w:val="en-GB"/>
              </w:rPr>
              <w:t>II Art. 38-40</w:t>
            </w:r>
            <w:r w:rsidR="00AB2C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E4EB4" w:rsidRPr="002C37BB">
              <w:rPr>
                <w:rFonts w:ascii="Arial" w:hAnsi="Arial" w:cs="Arial"/>
                <w:sz w:val="18"/>
                <w:szCs w:val="18"/>
                <w:lang w:val="en-GB"/>
              </w:rPr>
              <w:t>require</w:t>
            </w:r>
            <w:r w:rsidR="003B1B9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9E4EB4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all seafarers to have a</w:t>
            </w:r>
            <w:r w:rsidR="00772797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Seafarer’s</w:t>
            </w:r>
            <w:r w:rsidR="009E4EB4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2797" w:rsidRPr="002C37BB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9E4EB4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mployment </w:t>
            </w:r>
            <w:r w:rsidR="00772797" w:rsidRPr="002C37BB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9E4EB4" w:rsidRPr="002C37BB">
              <w:rPr>
                <w:rFonts w:ascii="Arial" w:hAnsi="Arial" w:cs="Arial"/>
                <w:sz w:val="18"/>
                <w:szCs w:val="18"/>
                <w:lang w:val="en-GB"/>
              </w:rPr>
              <w:t>greement</w:t>
            </w:r>
            <w:r w:rsidR="00AB2CF7">
              <w:rPr>
                <w:rFonts w:ascii="Arial" w:hAnsi="Arial" w:cs="Arial"/>
                <w:sz w:val="18"/>
                <w:szCs w:val="18"/>
                <w:lang w:val="en-GB"/>
              </w:rPr>
              <w:t xml:space="preserve"> and specifies the information to be included therewith.</w:t>
            </w:r>
          </w:p>
        </w:tc>
      </w:tr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5.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Use of any licensed or certified or regulated private recruitment and placement service (Regulation 1.4)</w:t>
            </w:r>
          </w:p>
        </w:tc>
        <w:tc>
          <w:tcPr>
            <w:tcW w:w="5193" w:type="dxa"/>
          </w:tcPr>
          <w:p w:rsidR="00F959C5" w:rsidRDefault="00B66AF0" w:rsidP="008057D8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7D8">
              <w:rPr>
                <w:rFonts w:ascii="Arial" w:hAnsi="Arial" w:cs="Arial"/>
                <w:sz w:val="18"/>
                <w:szCs w:val="18"/>
              </w:rPr>
              <w:t>Shipowners</w:t>
            </w:r>
            <w:proofErr w:type="spellEnd"/>
            <w:r w:rsidRPr="008057D8">
              <w:rPr>
                <w:rFonts w:ascii="Arial" w:hAnsi="Arial" w:cs="Arial"/>
                <w:sz w:val="18"/>
                <w:szCs w:val="18"/>
              </w:rPr>
              <w:t xml:space="preserve"> who use seafarer recruitment and placement services </w:t>
            </w:r>
            <w:r w:rsidR="00E719C0">
              <w:rPr>
                <w:rFonts w:ascii="Arial" w:hAnsi="Arial" w:cs="Arial"/>
                <w:sz w:val="18"/>
                <w:szCs w:val="18"/>
              </w:rPr>
              <w:t xml:space="preserve">based in a State party to the MLC, 2006, </w:t>
            </w:r>
            <w:r w:rsidRPr="008057D8">
              <w:rPr>
                <w:rFonts w:ascii="Arial" w:hAnsi="Arial" w:cs="Arial"/>
                <w:sz w:val="18"/>
                <w:szCs w:val="18"/>
              </w:rPr>
              <w:t>for the employment of seafarers to work on board Cyprus flag ships</w:t>
            </w:r>
            <w:r w:rsidR="00E719C0" w:rsidRPr="008057D8">
              <w:rPr>
                <w:rFonts w:ascii="Arial" w:hAnsi="Arial" w:cs="Arial"/>
                <w:sz w:val="18"/>
                <w:szCs w:val="18"/>
              </w:rPr>
              <w:t>, shall</w:t>
            </w:r>
            <w:r w:rsidRPr="008057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8057D8">
              <w:rPr>
                <w:rFonts w:ascii="Arial" w:hAnsi="Arial" w:cs="Arial"/>
                <w:sz w:val="18"/>
                <w:szCs w:val="18"/>
              </w:rPr>
              <w:t>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0">
              <w:rPr>
                <w:rFonts w:ascii="Arial" w:hAnsi="Arial" w:cs="Arial"/>
                <w:sz w:val="18"/>
                <w:szCs w:val="18"/>
              </w:rPr>
              <w:t>Licensed or</w:t>
            </w:r>
            <w:r w:rsidR="00FE46C4">
              <w:rPr>
                <w:rFonts w:ascii="Arial" w:hAnsi="Arial" w:cs="Arial"/>
                <w:sz w:val="18"/>
                <w:szCs w:val="18"/>
              </w:rPr>
              <w:t xml:space="preserve"> Certified </w:t>
            </w:r>
            <w:r w:rsidR="00E719C0">
              <w:rPr>
                <w:rFonts w:ascii="Arial" w:hAnsi="Arial" w:cs="Arial"/>
                <w:sz w:val="18"/>
                <w:szCs w:val="18"/>
              </w:rPr>
              <w:t>or regulated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6C4">
              <w:rPr>
                <w:rFonts w:ascii="Arial" w:hAnsi="Arial" w:cs="Arial"/>
                <w:sz w:val="18"/>
                <w:szCs w:val="18"/>
              </w:rPr>
              <w:t>in accordance with MLC, 2006 Standard A1.4 requirements.</w:t>
            </w:r>
            <w:r w:rsidR="00E719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0A39" w:rsidRPr="00E719C0" w:rsidRDefault="00FE46C4" w:rsidP="00C528E9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8057D8">
              <w:rPr>
                <w:rFonts w:ascii="Arial" w:hAnsi="Arial" w:cs="Arial"/>
                <w:sz w:val="18"/>
                <w:szCs w:val="18"/>
              </w:rPr>
              <w:t xml:space="preserve">seafarer recruitment and placement </w:t>
            </w:r>
            <w:r w:rsidR="00C528E9">
              <w:rPr>
                <w:rFonts w:ascii="Arial" w:hAnsi="Arial" w:cs="Arial"/>
                <w:sz w:val="18"/>
                <w:szCs w:val="18"/>
              </w:rPr>
              <w:t xml:space="preserve">services based in a </w:t>
            </w:r>
            <w:r>
              <w:rPr>
                <w:rFonts w:ascii="Arial" w:hAnsi="Arial" w:cs="Arial"/>
                <w:sz w:val="18"/>
                <w:szCs w:val="18"/>
              </w:rPr>
              <w:t>State not party to the MLC, 2006 are use</w:t>
            </w:r>
            <w:r w:rsidR="00E719C0">
              <w:rPr>
                <w:rFonts w:ascii="Arial" w:hAnsi="Arial" w:cs="Arial"/>
                <w:sz w:val="18"/>
                <w:szCs w:val="18"/>
              </w:rPr>
              <w:t xml:space="preserve">d, these shall </w:t>
            </w:r>
            <w:r w:rsidR="00E719C0" w:rsidRPr="008057D8">
              <w:rPr>
                <w:rFonts w:ascii="Arial" w:hAnsi="Arial" w:cs="Arial"/>
                <w:sz w:val="18"/>
                <w:szCs w:val="18"/>
              </w:rPr>
              <w:t>conform</w:t>
            </w:r>
            <w:r w:rsidR="00820A39" w:rsidRPr="008057D8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C528E9" w:rsidRPr="008057D8">
              <w:rPr>
                <w:rFonts w:ascii="Arial" w:hAnsi="Arial" w:cs="Arial"/>
                <w:sz w:val="18"/>
                <w:szCs w:val="18"/>
              </w:rPr>
              <w:t>MLC, 2006</w:t>
            </w:r>
            <w:r w:rsidR="00820A39" w:rsidRPr="008057D8">
              <w:rPr>
                <w:rFonts w:ascii="Arial" w:hAnsi="Arial" w:cs="Arial"/>
                <w:sz w:val="18"/>
                <w:szCs w:val="18"/>
              </w:rPr>
              <w:t xml:space="preserve"> Standard A1.4.5 </w:t>
            </w:r>
            <w:r w:rsidR="00C528E9">
              <w:rPr>
                <w:rFonts w:ascii="Arial" w:hAnsi="Arial" w:cs="Arial"/>
                <w:sz w:val="18"/>
                <w:szCs w:val="18"/>
              </w:rPr>
              <w:t>and Standard A1.4.9</w:t>
            </w:r>
            <w:r w:rsidR="00820A39" w:rsidRPr="00805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6.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Hours of </w:t>
            </w: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ork or rest (Regulation</w:t>
            </w:r>
            <w:r w:rsidR="0093248E"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2.3)</w:t>
            </w:r>
          </w:p>
        </w:tc>
        <w:tc>
          <w:tcPr>
            <w:tcW w:w="5193" w:type="dxa"/>
          </w:tcPr>
          <w:p w:rsidR="00682E17" w:rsidRPr="002C37BB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A294C">
              <w:rPr>
                <w:rFonts w:ascii="Arial" w:hAnsi="Arial" w:cs="Arial"/>
                <w:sz w:val="18"/>
                <w:szCs w:val="18"/>
                <w:lang w:val="en-GB"/>
              </w:rPr>
              <w:t xml:space="preserve">Part </w:t>
            </w:r>
            <w:r w:rsidR="00671D46">
              <w:rPr>
                <w:rFonts w:ascii="Arial" w:hAnsi="Arial" w:cs="Arial"/>
                <w:sz w:val="18"/>
                <w:szCs w:val="18"/>
                <w:lang w:val="en-GB"/>
              </w:rPr>
              <w:t>IX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71D46">
              <w:rPr>
                <w:rFonts w:ascii="Arial" w:hAnsi="Arial" w:cs="Arial"/>
                <w:sz w:val="18"/>
                <w:szCs w:val="18"/>
                <w:lang w:val="en-GB"/>
              </w:rPr>
              <w:t>Art. 50</w:t>
            </w:r>
            <w:r w:rsidR="00AB2CF7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671D46">
              <w:rPr>
                <w:rFonts w:ascii="Arial" w:hAnsi="Arial" w:cs="Arial"/>
                <w:sz w:val="18"/>
                <w:szCs w:val="18"/>
                <w:lang w:val="en-GB"/>
              </w:rPr>
              <w:t>56</w:t>
            </w:r>
            <w:r w:rsidR="00AB2C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provide</w:t>
            </w:r>
            <w:r w:rsidR="00AB2CF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C3529A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for </w:t>
            </w:r>
            <w:r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rest</w:t>
            </w:r>
            <w:r w:rsidR="00C3529A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of at least 10 hours in any 24 hour period an</w:t>
            </w:r>
            <w:r w:rsidR="002A294C">
              <w:rPr>
                <w:rFonts w:ascii="Arial" w:hAnsi="Arial" w:cs="Arial"/>
                <w:sz w:val="18"/>
                <w:szCs w:val="18"/>
                <w:lang w:val="en-GB"/>
              </w:rPr>
              <w:t xml:space="preserve">d 77 hours in any 7 day period </w:t>
            </w:r>
            <w:r w:rsidR="00E368EE">
              <w:rPr>
                <w:rFonts w:ascii="Arial" w:hAnsi="Arial" w:cs="Arial"/>
                <w:sz w:val="18"/>
                <w:szCs w:val="18"/>
                <w:lang w:val="en-GB"/>
              </w:rPr>
              <w:t>and sets</w:t>
            </w:r>
            <w:r w:rsidR="002A294C">
              <w:rPr>
                <w:rFonts w:ascii="Arial" w:hAnsi="Arial" w:cs="Arial"/>
                <w:sz w:val="18"/>
                <w:szCs w:val="18"/>
                <w:lang w:val="en-GB"/>
              </w:rPr>
              <w:t xml:space="preserve"> out</w:t>
            </w:r>
            <w:r w:rsidR="00C13752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requirement</w:t>
            </w:r>
            <w:r w:rsidR="005F6D8C">
              <w:rPr>
                <w:rFonts w:ascii="Arial" w:hAnsi="Arial" w:cs="Arial"/>
                <w:sz w:val="18"/>
                <w:szCs w:val="18"/>
                <w:lang w:val="en-GB"/>
              </w:rPr>
              <w:t xml:space="preserve">s to display a schedule of Shipboard Working </w:t>
            </w:r>
            <w:r w:rsidR="00E368EE">
              <w:rPr>
                <w:rFonts w:ascii="Arial" w:hAnsi="Arial" w:cs="Arial"/>
                <w:sz w:val="18"/>
                <w:szCs w:val="18"/>
                <w:lang w:val="en-GB"/>
              </w:rPr>
              <w:t xml:space="preserve">Arrangements </w:t>
            </w:r>
            <w:r w:rsidR="00E368EE" w:rsidRPr="002C37BB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5F6D8C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format of Hours of R</w:t>
            </w:r>
            <w:r w:rsidR="002A294C">
              <w:rPr>
                <w:rFonts w:ascii="Arial" w:hAnsi="Arial" w:cs="Arial"/>
                <w:sz w:val="18"/>
                <w:szCs w:val="18"/>
                <w:lang w:val="en-GB"/>
              </w:rPr>
              <w:t>est</w:t>
            </w:r>
            <w:r w:rsidR="005F6D8C">
              <w:rPr>
                <w:rFonts w:ascii="Arial" w:hAnsi="Arial" w:cs="Arial"/>
                <w:sz w:val="18"/>
                <w:szCs w:val="18"/>
                <w:lang w:val="en-GB"/>
              </w:rPr>
              <w:t xml:space="preserve"> R</w:t>
            </w:r>
            <w:r w:rsidR="00C13752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ecords.   </w:t>
            </w:r>
          </w:p>
        </w:tc>
      </w:tr>
      <w:tr w:rsidR="000D298D" w:rsidRPr="002C37BB" w:rsidTr="002C37BB">
        <w:trPr>
          <w:trHeight w:val="296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  <w:r w:rsidR="003C4716" w:rsidRPr="002C37BB">
              <w:rPr>
                <w:rFonts w:ascii="Arial" w:hAnsi="Arial" w:cs="Arial"/>
                <w:sz w:val="20"/>
                <w:szCs w:val="20"/>
                <w:lang w:val="en-GB"/>
              </w:rPr>
              <w:t>Manning levels for the ship (Regulation 2.7)</w:t>
            </w:r>
          </w:p>
        </w:tc>
        <w:tc>
          <w:tcPr>
            <w:tcW w:w="5193" w:type="dxa"/>
          </w:tcPr>
          <w:p w:rsidR="00682E17" w:rsidRPr="005F6D8C" w:rsidRDefault="00AB2CF7" w:rsidP="005F6D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71D46">
              <w:rPr>
                <w:rFonts w:ascii="Arial" w:hAnsi="Arial" w:cs="Arial"/>
                <w:sz w:val="18"/>
                <w:szCs w:val="18"/>
                <w:lang w:val="en-GB"/>
              </w:rPr>
              <w:t>Part XIII Art. 69-72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8748A" w:rsidRPr="008F558D">
              <w:rPr>
                <w:rFonts w:ascii="Arial" w:hAnsi="Arial" w:cs="Arial"/>
                <w:bCs/>
                <w:iCs/>
                <w:sz w:val="18"/>
                <w:szCs w:val="18"/>
              </w:rPr>
              <w:t>require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F6D8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Minimum </w:t>
            </w:r>
            <w:r w:rsidR="005F6D8C">
              <w:rPr>
                <w:rFonts w:ascii="Arial" w:hAnsi="Arial" w:cs="Arial"/>
                <w:sz w:val="18"/>
                <w:szCs w:val="18"/>
                <w:lang w:val="en-GB"/>
              </w:rPr>
              <w:t>Safe Manning D</w:t>
            </w:r>
            <w:r w:rsidR="00C3529A" w:rsidRPr="002C37BB">
              <w:rPr>
                <w:rFonts w:ascii="Arial" w:hAnsi="Arial" w:cs="Arial"/>
                <w:sz w:val="18"/>
                <w:szCs w:val="18"/>
                <w:lang w:val="en-GB"/>
              </w:rPr>
              <w:t>oc</w:t>
            </w:r>
            <w:r w:rsidR="005F6D8C">
              <w:rPr>
                <w:rFonts w:ascii="Arial" w:hAnsi="Arial" w:cs="Arial"/>
                <w:sz w:val="18"/>
                <w:szCs w:val="18"/>
                <w:lang w:val="en-GB"/>
              </w:rPr>
              <w:t>uments for all ships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sets the requirements </w:t>
            </w:r>
            <w:r w:rsidR="00E368EE">
              <w:rPr>
                <w:rFonts w:ascii="Arial" w:hAnsi="Arial" w:cs="Arial"/>
                <w:sz w:val="18"/>
                <w:szCs w:val="18"/>
                <w:lang w:val="en-GB"/>
              </w:rPr>
              <w:t>for safe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368EE">
              <w:rPr>
                <w:rFonts w:ascii="Arial" w:hAnsi="Arial" w:cs="Arial"/>
                <w:sz w:val="18"/>
                <w:szCs w:val="18"/>
                <w:lang w:val="en-GB"/>
              </w:rPr>
              <w:t xml:space="preserve">and efficient </w:t>
            </w:r>
            <w:r w:rsidR="00E368EE" w:rsidRPr="002C37BB">
              <w:rPr>
                <w:rFonts w:ascii="Arial" w:hAnsi="Arial" w:cs="Arial"/>
                <w:sz w:val="18"/>
                <w:szCs w:val="18"/>
                <w:lang w:val="en-GB"/>
              </w:rPr>
              <w:t>operation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3D6D68" w:rsidRPr="002C37BB" w:rsidTr="002C37BB">
        <w:trPr>
          <w:trHeight w:val="296"/>
        </w:trPr>
        <w:tc>
          <w:tcPr>
            <w:tcW w:w="4554" w:type="dxa"/>
          </w:tcPr>
          <w:p w:rsidR="003D6D68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8. </w:t>
            </w:r>
            <w:r w:rsidR="003D6D68" w:rsidRPr="002C37BB">
              <w:rPr>
                <w:rFonts w:ascii="Arial" w:hAnsi="Arial" w:cs="Arial"/>
                <w:sz w:val="20"/>
                <w:szCs w:val="20"/>
                <w:lang w:val="en-GB"/>
              </w:rPr>
              <w:t>Accommodation (Regulation 3.1)</w:t>
            </w:r>
          </w:p>
        </w:tc>
        <w:tc>
          <w:tcPr>
            <w:tcW w:w="5193" w:type="dxa"/>
          </w:tcPr>
          <w:p w:rsidR="008F558D" w:rsidRPr="0015532D" w:rsidRDefault="008F558D" w:rsidP="001553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505A">
              <w:rPr>
                <w:rFonts w:ascii="Arial" w:hAnsi="Arial" w:cs="Arial"/>
                <w:sz w:val="18"/>
                <w:szCs w:val="18"/>
                <w:lang w:val="en-GB"/>
              </w:rPr>
              <w:t xml:space="preserve">Existing ships </w:t>
            </w:r>
            <w:r w:rsidRPr="0080505A">
              <w:rPr>
                <w:rFonts w:ascii="Arial" w:hAnsi="Arial" w:cs="Arial"/>
                <w:sz w:val="18"/>
                <w:szCs w:val="18"/>
              </w:rPr>
              <w:t>(constructed before the entry into force of the MLC, 2006 for Cyprus), must have been constructed and equipped in c</w:t>
            </w:r>
            <w:r w:rsidR="008E7ED4" w:rsidRPr="0080505A">
              <w:rPr>
                <w:rFonts w:ascii="Arial" w:hAnsi="Arial" w:cs="Arial"/>
                <w:sz w:val="18"/>
                <w:szCs w:val="18"/>
              </w:rPr>
              <w:t xml:space="preserve">ompliance with ILO C92 and C133  </w:t>
            </w:r>
            <w:r w:rsidR="00B75824" w:rsidRPr="006C7D01">
              <w:rPr>
                <w:rFonts w:ascii="Arial" w:hAnsi="Arial" w:cs="Arial"/>
                <w:sz w:val="18"/>
                <w:szCs w:val="18"/>
              </w:rPr>
              <w:t xml:space="preserve"> as applicable.</w:t>
            </w:r>
            <w:r w:rsidR="0015532D" w:rsidRPr="006C7D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503F3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313F8C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="009503F3"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71D46">
              <w:rPr>
                <w:rFonts w:ascii="Arial" w:hAnsi="Arial" w:cs="Arial"/>
                <w:sz w:val="18"/>
                <w:szCs w:val="18"/>
                <w:lang w:val="en-GB"/>
              </w:rPr>
              <w:t>Part XIV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C37BB">
              <w:rPr>
                <w:rFonts w:ascii="Arial" w:hAnsi="Arial" w:cs="Arial"/>
                <w:sz w:val="18"/>
                <w:szCs w:val="18"/>
                <w:lang w:val="en-GB"/>
              </w:rPr>
              <w:t>set</w:t>
            </w:r>
            <w:r w:rsidR="00016773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2C37BB">
              <w:rPr>
                <w:rFonts w:ascii="Arial" w:hAnsi="Arial" w:cs="Arial"/>
                <w:sz w:val="18"/>
                <w:szCs w:val="18"/>
                <w:lang w:val="en-GB"/>
              </w:rPr>
              <w:t xml:space="preserve"> o</w:t>
            </w:r>
            <w:r w:rsidR="009319CF">
              <w:rPr>
                <w:rFonts w:ascii="Arial" w:hAnsi="Arial" w:cs="Arial"/>
                <w:sz w:val="18"/>
                <w:szCs w:val="18"/>
                <w:lang w:val="en-GB"/>
              </w:rPr>
              <w:t xml:space="preserve">ut the requirements for ships </w:t>
            </w:r>
            <w:r w:rsidR="0080505A">
              <w:rPr>
                <w:rFonts w:ascii="Arial" w:hAnsi="Arial" w:cs="Arial"/>
                <w:sz w:val="18"/>
                <w:szCs w:val="18"/>
                <w:lang w:val="en-GB"/>
              </w:rPr>
              <w:t>constructed after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F558D">
              <w:rPr>
                <w:rFonts w:ascii="Arial" w:hAnsi="Arial" w:cs="Arial"/>
                <w:color w:val="000000"/>
                <w:sz w:val="18"/>
                <w:szCs w:val="18"/>
              </w:rPr>
              <w:t>the entry into force of the MLC, 2006 for Cyprus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13F8C" w:rsidRDefault="008F558D" w:rsidP="008F558D">
            <w:pPr>
              <w:rPr>
                <w:rFonts w:ascii="Arial" w:hAnsi="Arial" w:cs="Arial"/>
                <w:sz w:val="18"/>
                <w:szCs w:val="18"/>
              </w:rPr>
            </w:pPr>
            <w:r w:rsidRPr="00016773">
              <w:rPr>
                <w:rFonts w:ascii="Arial" w:hAnsi="Arial" w:cs="Arial"/>
                <w:sz w:val="18"/>
                <w:szCs w:val="18"/>
              </w:rPr>
              <w:t xml:space="preserve">In the case of existing ships not constructed in compliance with MLC </w:t>
            </w:r>
            <w:r w:rsidR="008E7ED4">
              <w:rPr>
                <w:rFonts w:ascii="Arial" w:hAnsi="Arial" w:cs="Arial"/>
                <w:sz w:val="18"/>
                <w:szCs w:val="18"/>
              </w:rPr>
              <w:t xml:space="preserve">2006, or ILO C92 and </w:t>
            </w:r>
            <w:r w:rsidR="008E7ED4" w:rsidRPr="006C7D01">
              <w:rPr>
                <w:rFonts w:ascii="Arial" w:hAnsi="Arial" w:cs="Arial"/>
                <w:sz w:val="18"/>
                <w:szCs w:val="18"/>
              </w:rPr>
              <w:t>C133 as</w:t>
            </w:r>
            <w:r w:rsidR="00B75824" w:rsidRPr="006C7D01">
              <w:rPr>
                <w:rFonts w:ascii="Arial" w:hAnsi="Arial" w:cs="Arial"/>
                <w:sz w:val="18"/>
                <w:szCs w:val="18"/>
              </w:rPr>
              <w:t xml:space="preserve"> applicable</w:t>
            </w:r>
            <w:r w:rsidR="008E7ED4" w:rsidRPr="006C7D01">
              <w:rPr>
                <w:rFonts w:ascii="Arial" w:hAnsi="Arial" w:cs="Arial"/>
                <w:sz w:val="18"/>
                <w:szCs w:val="18"/>
              </w:rPr>
              <w:t>,</w:t>
            </w:r>
            <w:r w:rsidR="008E7ED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8E7ED4" w:rsidRPr="008E7ED4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016773">
              <w:rPr>
                <w:rFonts w:ascii="Arial" w:hAnsi="Arial" w:cs="Arial"/>
                <w:sz w:val="18"/>
                <w:szCs w:val="18"/>
              </w:rPr>
              <w:t xml:space="preserve"> Shipping </w:t>
            </w:r>
            <w:r w:rsidR="0042183F">
              <w:rPr>
                <w:rFonts w:ascii="Arial" w:hAnsi="Arial" w:cs="Arial"/>
                <w:sz w:val="18"/>
                <w:szCs w:val="18"/>
              </w:rPr>
              <w:t xml:space="preserve">Deputy Ministry to the President </w:t>
            </w:r>
            <w:r w:rsidRPr="00016773">
              <w:rPr>
                <w:rFonts w:ascii="Arial" w:hAnsi="Arial" w:cs="Arial"/>
                <w:sz w:val="18"/>
                <w:szCs w:val="18"/>
              </w:rPr>
              <w:t>must be conducted for instructions.</w:t>
            </w:r>
            <w:r w:rsidR="009319CF" w:rsidRPr="00016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0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558D" w:rsidRDefault="009319CF" w:rsidP="008F558D">
            <w:pPr>
              <w:rPr>
                <w:rFonts w:ascii="Arial" w:hAnsi="Arial" w:cs="Arial"/>
                <w:sz w:val="18"/>
                <w:szCs w:val="18"/>
              </w:rPr>
            </w:pPr>
            <w:r w:rsidRPr="00016773">
              <w:rPr>
                <w:rFonts w:ascii="Arial" w:hAnsi="Arial" w:cs="Arial"/>
                <w:sz w:val="18"/>
                <w:szCs w:val="18"/>
              </w:rPr>
              <w:t>Exemptions may be given.</w:t>
            </w:r>
          </w:p>
          <w:p w:rsidR="00682E17" w:rsidRPr="009319CF" w:rsidRDefault="009319CF" w:rsidP="008F5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ship shall be deemed to have been constructed on the date when its keel is laid or when it is at a similar stage of construction.</w:t>
            </w:r>
          </w:p>
        </w:tc>
      </w:tr>
      <w:tr w:rsidR="003C4716" w:rsidRPr="002C37BB" w:rsidTr="002C37BB">
        <w:trPr>
          <w:trHeight w:val="287"/>
        </w:trPr>
        <w:tc>
          <w:tcPr>
            <w:tcW w:w="4554" w:type="dxa"/>
          </w:tcPr>
          <w:p w:rsidR="003C4716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  <w:r w:rsidR="003C4716" w:rsidRPr="002C37BB">
              <w:rPr>
                <w:rFonts w:ascii="Arial" w:hAnsi="Arial" w:cs="Arial"/>
                <w:sz w:val="20"/>
                <w:szCs w:val="20"/>
                <w:lang w:val="en-GB"/>
              </w:rPr>
              <w:t>On-board recreational facilities (Regulation3.1)</w:t>
            </w:r>
          </w:p>
        </w:tc>
        <w:tc>
          <w:tcPr>
            <w:tcW w:w="5193" w:type="dxa"/>
          </w:tcPr>
          <w:p w:rsidR="00682E17" w:rsidRPr="000E6191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4348">
              <w:rPr>
                <w:rFonts w:ascii="Arial" w:hAnsi="Arial" w:cs="Arial"/>
                <w:sz w:val="18"/>
                <w:szCs w:val="18"/>
                <w:lang w:val="en-GB"/>
              </w:rPr>
              <w:t>Part XIV Art. 99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set</w:t>
            </w:r>
            <w:r w:rsidR="00016773" w:rsidRPr="000E619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240E1" w:rsidRPr="000E6191">
              <w:rPr>
                <w:rFonts w:ascii="Arial" w:hAnsi="Arial" w:cs="Arial"/>
                <w:sz w:val="18"/>
                <w:szCs w:val="18"/>
                <w:lang w:val="en-GB"/>
              </w:rPr>
              <w:t>out the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requirements for on </w:t>
            </w:r>
            <w:r w:rsidR="0015532D" w:rsidRPr="000E6191">
              <w:rPr>
                <w:rFonts w:ascii="Arial" w:hAnsi="Arial" w:cs="Arial"/>
                <w:sz w:val="18"/>
                <w:szCs w:val="18"/>
                <w:lang w:val="en-GB"/>
              </w:rPr>
              <w:t>board recreational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facilities.</w:t>
            </w:r>
          </w:p>
        </w:tc>
      </w:tr>
      <w:tr w:rsidR="003C4716" w:rsidRPr="002C37BB" w:rsidTr="0015532D">
        <w:trPr>
          <w:trHeight w:val="872"/>
        </w:trPr>
        <w:tc>
          <w:tcPr>
            <w:tcW w:w="4554" w:type="dxa"/>
          </w:tcPr>
          <w:p w:rsidR="003C4716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10. </w:t>
            </w:r>
            <w:r w:rsidR="003C4716" w:rsidRPr="002C37BB">
              <w:rPr>
                <w:rFonts w:ascii="Arial" w:hAnsi="Arial" w:cs="Arial"/>
                <w:sz w:val="20"/>
                <w:szCs w:val="20"/>
                <w:lang w:val="en-GB"/>
              </w:rPr>
              <w:t>Food and catering (Regulation 3.2)</w:t>
            </w:r>
          </w:p>
          <w:p w:rsidR="002E792A" w:rsidRPr="002C37BB" w:rsidRDefault="002E792A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792A" w:rsidRPr="002C37BB" w:rsidRDefault="002E792A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792A" w:rsidRPr="002C37BB" w:rsidRDefault="002E792A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792A" w:rsidRPr="002C37BB" w:rsidRDefault="002E792A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</w:tcPr>
          <w:p w:rsidR="00C149EA" w:rsidRDefault="009503F3" w:rsidP="00C149EA">
            <w:pPr>
              <w:tabs>
                <w:tab w:val="num" w:pos="855"/>
              </w:tabs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4348">
              <w:rPr>
                <w:rFonts w:ascii="Arial" w:hAnsi="Arial" w:cs="Arial"/>
                <w:sz w:val="18"/>
                <w:szCs w:val="18"/>
                <w:lang w:val="en-GB"/>
              </w:rPr>
              <w:t>Part XV Art. 100-104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E7ED4" w:rsidRPr="000E6191">
              <w:rPr>
                <w:rFonts w:ascii="Arial" w:hAnsi="Arial" w:cs="Arial"/>
                <w:sz w:val="18"/>
                <w:szCs w:val="18"/>
                <w:lang w:val="en-GB"/>
              </w:rPr>
              <w:t>sets out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the requirements for food and catering.</w:t>
            </w:r>
            <w:r w:rsidR="00C149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5532D" w:rsidRPr="000E6191" w:rsidRDefault="009503F3" w:rsidP="00C149EA">
            <w:pPr>
              <w:tabs>
                <w:tab w:val="num" w:pos="855"/>
              </w:tabs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4348">
              <w:rPr>
                <w:rFonts w:ascii="Arial" w:hAnsi="Arial" w:cs="Arial"/>
                <w:sz w:val="18"/>
                <w:szCs w:val="18"/>
                <w:lang w:val="en-GB"/>
              </w:rPr>
              <w:t>Part XV Art. 105-106</w:t>
            </w:r>
            <w:r w:rsidR="008F558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A657B" w:rsidRPr="000E6191">
              <w:rPr>
                <w:rFonts w:ascii="Arial" w:hAnsi="Arial" w:cs="Arial"/>
                <w:sz w:val="18"/>
                <w:szCs w:val="18"/>
                <w:lang w:val="en-GB"/>
              </w:rPr>
              <w:t>set</w:t>
            </w:r>
            <w:r w:rsidR="00E368EE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2A657B" w:rsidRPr="000E6191">
              <w:rPr>
                <w:rFonts w:ascii="Arial" w:hAnsi="Arial" w:cs="Arial"/>
                <w:sz w:val="18"/>
                <w:szCs w:val="18"/>
                <w:lang w:val="en-GB"/>
              </w:rPr>
              <w:t>requirements for certification of coo</w:t>
            </w:r>
            <w:r w:rsidR="0015532D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ks. </w:t>
            </w:r>
          </w:p>
          <w:p w:rsidR="0015532D" w:rsidRPr="002C37BB" w:rsidRDefault="0015532D" w:rsidP="00294358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>The Cy</w:t>
            </w:r>
            <w:r w:rsidR="0080505A" w:rsidRPr="000E6191">
              <w:rPr>
                <w:rFonts w:ascii="Arial" w:hAnsi="Arial" w:cs="Arial"/>
                <w:sz w:val="18"/>
                <w:szCs w:val="18"/>
                <w:lang w:val="en-GB"/>
              </w:rPr>
              <w:t>prus</w:t>
            </w: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Code of Safe Working Practices for Merchant Seamen</w:t>
            </w:r>
            <w:r w:rsidR="0080505A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Chapter</w:t>
            </w:r>
            <w:r w:rsidR="000E6191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0505A" w:rsidRPr="000E6191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29435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80505A"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gives</w:t>
            </w:r>
            <w:r w:rsidRPr="000E6191">
              <w:rPr>
                <w:rFonts w:ascii="Arial" w:hAnsi="Arial" w:cs="Arial"/>
                <w:sz w:val="18"/>
                <w:szCs w:val="18"/>
                <w:lang w:val="en-GB"/>
              </w:rPr>
              <w:t xml:space="preserve"> guidance for food preparation and handling.</w:t>
            </w:r>
          </w:p>
        </w:tc>
      </w:tr>
      <w:tr w:rsidR="003C4716" w:rsidRPr="002C37BB" w:rsidTr="002C37BB">
        <w:trPr>
          <w:trHeight w:val="287"/>
        </w:trPr>
        <w:tc>
          <w:tcPr>
            <w:tcW w:w="4554" w:type="dxa"/>
          </w:tcPr>
          <w:p w:rsidR="003C4716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11. </w:t>
            </w:r>
            <w:r w:rsidR="003C4716" w:rsidRPr="002C37BB">
              <w:rPr>
                <w:rFonts w:ascii="Arial" w:hAnsi="Arial" w:cs="Arial"/>
                <w:sz w:val="20"/>
                <w:szCs w:val="20"/>
                <w:lang w:val="en-GB"/>
              </w:rPr>
              <w:t>Health and Safety and accident prevention (Regulation 4.3)</w:t>
            </w:r>
          </w:p>
          <w:p w:rsidR="00E132DD" w:rsidRPr="002C37BB" w:rsidRDefault="00E132D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132DD" w:rsidRPr="002C37BB" w:rsidRDefault="00E132D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</w:tcPr>
          <w:p w:rsidR="003C4716" w:rsidRPr="008057D8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4348">
              <w:rPr>
                <w:rFonts w:ascii="Arial" w:hAnsi="Arial" w:cs="Arial"/>
                <w:sz w:val="18"/>
                <w:szCs w:val="18"/>
                <w:lang w:val="en-GB"/>
              </w:rPr>
              <w:t xml:space="preserve">Part XVIII </w:t>
            </w:r>
            <w:r w:rsidR="00E368EE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sets </w:t>
            </w:r>
            <w:r w:rsidR="007A53F2" w:rsidRPr="008057D8">
              <w:rPr>
                <w:rFonts w:ascii="Arial" w:hAnsi="Arial" w:cs="Arial"/>
                <w:sz w:val="18"/>
                <w:szCs w:val="18"/>
                <w:lang w:val="en-GB"/>
              </w:rPr>
              <w:t>responsibilities on the employer to provide a safe working environment</w:t>
            </w:r>
            <w:r w:rsidR="003215A3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protection of health, safety and the prevention of accidents on board.</w:t>
            </w:r>
          </w:p>
          <w:p w:rsidR="00F959C5" w:rsidRDefault="003215A3" w:rsidP="00F959C5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Guidance is </w:t>
            </w:r>
            <w:r w:rsidR="003945BE" w:rsidRPr="008057D8">
              <w:rPr>
                <w:rFonts w:ascii="Arial" w:hAnsi="Arial" w:cs="Arial"/>
                <w:sz w:val="18"/>
                <w:szCs w:val="18"/>
                <w:lang w:val="en-GB"/>
              </w:rPr>
              <w:t>given in</w:t>
            </w: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the Cyprus Code of Safe Worki</w:t>
            </w:r>
            <w:r w:rsidR="009319CF" w:rsidRPr="008057D8">
              <w:rPr>
                <w:rFonts w:ascii="Arial" w:hAnsi="Arial" w:cs="Arial"/>
                <w:sz w:val="18"/>
                <w:szCs w:val="18"/>
                <w:lang w:val="en-GB"/>
              </w:rPr>
              <w:t>ng Practices for Merchant Seafarers</w:t>
            </w: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52431E" w:rsidRPr="00313F8C" w:rsidRDefault="00E368EE" w:rsidP="00F959C5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3F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59C5" w:rsidRPr="00313F8C">
              <w:rPr>
                <w:rFonts w:ascii="Arial" w:hAnsi="Arial" w:cs="Arial"/>
                <w:sz w:val="18"/>
                <w:szCs w:val="18"/>
                <w:lang w:val="en-GB"/>
              </w:rPr>
              <w:t>Reporting and recording of occupational accidents and diseases must be made as required by the MLC, 2006 Ratification Law of 2012 Part</w:t>
            </w:r>
            <w:r w:rsidR="00F959C5" w:rsidRPr="00313F8C">
              <w:rPr>
                <w:rFonts w:ascii="Arial" w:hAnsi="Arial" w:cs="Arial"/>
                <w:bCs/>
                <w:sz w:val="18"/>
                <w:szCs w:val="18"/>
              </w:rPr>
              <w:t xml:space="preserve"> XVI</w:t>
            </w:r>
            <w:r w:rsidR="00BA08AF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 w:rsidR="00F959C5" w:rsidRPr="00313F8C">
              <w:rPr>
                <w:rFonts w:ascii="Arial" w:hAnsi="Arial" w:cs="Arial"/>
                <w:bCs/>
                <w:sz w:val="18"/>
                <w:szCs w:val="18"/>
              </w:rPr>
              <w:t xml:space="preserve"> Art</w:t>
            </w:r>
            <w:r w:rsidR="00BA08AF">
              <w:rPr>
                <w:rFonts w:ascii="Arial" w:hAnsi="Arial" w:cs="Arial"/>
                <w:sz w:val="18"/>
                <w:szCs w:val="18"/>
                <w:lang w:val="en-GB"/>
              </w:rPr>
              <w:t>. 132-137</w:t>
            </w:r>
            <w:r w:rsidR="00F959C5" w:rsidRPr="00313F8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313F8C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</w:p>
        </w:tc>
      </w:tr>
      <w:tr w:rsidR="003D6D68" w:rsidRPr="002C37BB" w:rsidTr="00C237F4">
        <w:trPr>
          <w:trHeight w:val="870"/>
        </w:trPr>
        <w:tc>
          <w:tcPr>
            <w:tcW w:w="4554" w:type="dxa"/>
          </w:tcPr>
          <w:p w:rsidR="000D298D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12. </w:t>
            </w:r>
            <w:r w:rsidR="000D298D" w:rsidRPr="002C37BB">
              <w:rPr>
                <w:rFonts w:ascii="Arial" w:hAnsi="Arial" w:cs="Arial"/>
                <w:sz w:val="20"/>
                <w:szCs w:val="20"/>
                <w:lang w:val="en-GB"/>
              </w:rPr>
              <w:t>On-board medical care (Regulation 4.1)</w:t>
            </w:r>
          </w:p>
          <w:p w:rsidR="003D6D68" w:rsidRPr="002C37BB" w:rsidRDefault="003D6D68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</w:tcPr>
          <w:p w:rsidR="00270A8A" w:rsidRPr="00C237F4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37F4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C237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A08AF">
              <w:rPr>
                <w:rFonts w:ascii="Arial" w:hAnsi="Arial" w:cs="Arial"/>
                <w:sz w:val="18"/>
                <w:szCs w:val="18"/>
                <w:lang w:val="en-GB"/>
              </w:rPr>
              <w:t>Part XVI</w:t>
            </w:r>
            <w:r w:rsidR="0015532D" w:rsidRPr="00C237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45BE" w:rsidRPr="00C237F4">
              <w:rPr>
                <w:rFonts w:ascii="Arial" w:hAnsi="Arial" w:cs="Arial"/>
                <w:sz w:val="18"/>
                <w:szCs w:val="18"/>
                <w:lang w:val="en-GB"/>
              </w:rPr>
              <w:t>set</w:t>
            </w:r>
            <w:r w:rsidR="0015532D" w:rsidRPr="00C237F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3945BE" w:rsidRPr="00C237F4">
              <w:rPr>
                <w:rFonts w:ascii="Arial" w:hAnsi="Arial" w:cs="Arial"/>
                <w:sz w:val="18"/>
                <w:szCs w:val="18"/>
                <w:lang w:val="en-GB"/>
              </w:rPr>
              <w:t xml:space="preserve"> standards</w:t>
            </w:r>
            <w:r w:rsidR="00DF7387" w:rsidRPr="00C237F4">
              <w:rPr>
                <w:rFonts w:ascii="Arial" w:hAnsi="Arial" w:cs="Arial"/>
                <w:sz w:val="18"/>
                <w:szCs w:val="18"/>
                <w:lang w:val="en-GB"/>
              </w:rPr>
              <w:t xml:space="preserve"> for medical care on board.</w:t>
            </w:r>
            <w:r w:rsidR="00981BB0">
              <w:rPr>
                <w:rFonts w:ascii="Arial" w:hAnsi="Arial" w:cs="Arial"/>
                <w:sz w:val="18"/>
                <w:szCs w:val="18"/>
                <w:lang w:val="en-GB"/>
              </w:rPr>
              <w:t xml:space="preserve"> A standard medical </w:t>
            </w:r>
            <w:r w:rsidR="006C7D01">
              <w:rPr>
                <w:rFonts w:ascii="Arial" w:hAnsi="Arial" w:cs="Arial"/>
                <w:sz w:val="18"/>
                <w:szCs w:val="18"/>
                <w:lang w:val="en-GB"/>
              </w:rPr>
              <w:t>report form</w:t>
            </w:r>
            <w:r w:rsidR="00C237F4">
              <w:rPr>
                <w:rFonts w:ascii="Arial" w:hAnsi="Arial" w:cs="Arial"/>
                <w:sz w:val="18"/>
                <w:szCs w:val="18"/>
                <w:lang w:val="en-GB"/>
              </w:rPr>
              <w:t xml:space="preserve"> must be provided for use by shipmasters and medical personnel on-board and onshore.</w:t>
            </w:r>
          </w:p>
        </w:tc>
      </w:tr>
      <w:tr w:rsidR="00270A8A" w:rsidRPr="002C37BB" w:rsidTr="002C37BB">
        <w:trPr>
          <w:trHeight w:val="287"/>
        </w:trPr>
        <w:tc>
          <w:tcPr>
            <w:tcW w:w="4554" w:type="dxa"/>
          </w:tcPr>
          <w:p w:rsidR="00270A8A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13. </w:t>
            </w:r>
            <w:r w:rsidR="00270A8A" w:rsidRPr="002C37BB">
              <w:rPr>
                <w:rFonts w:ascii="Arial" w:hAnsi="Arial" w:cs="Arial"/>
                <w:sz w:val="20"/>
                <w:szCs w:val="20"/>
                <w:lang w:val="en-GB"/>
              </w:rPr>
              <w:t>Onboard Complaint Procedure (Regulation 5.1</w:t>
            </w:r>
            <w:r w:rsidR="00B93369" w:rsidRPr="002C37BB">
              <w:rPr>
                <w:rFonts w:ascii="Arial" w:hAnsi="Arial" w:cs="Arial"/>
                <w:sz w:val="20"/>
                <w:szCs w:val="20"/>
                <w:lang w:val="en-GB"/>
              </w:rPr>
              <w:t>.5</w:t>
            </w:r>
            <w:r w:rsidR="00270A8A" w:rsidRPr="002C37B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93" w:type="dxa"/>
          </w:tcPr>
          <w:p w:rsidR="00270A8A" w:rsidRPr="008057D8" w:rsidRDefault="009503F3" w:rsidP="009503F3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E2369">
              <w:rPr>
                <w:rFonts w:ascii="Arial" w:hAnsi="Arial" w:cs="Arial"/>
                <w:sz w:val="18"/>
                <w:szCs w:val="18"/>
                <w:lang w:val="en-GB"/>
              </w:rPr>
              <w:t>Part II</w:t>
            </w:r>
            <w:r w:rsidR="00DE2369" w:rsidRPr="00C237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D3935" w:rsidRPr="008057D8">
              <w:rPr>
                <w:rFonts w:ascii="Arial" w:hAnsi="Arial" w:cs="Arial"/>
                <w:sz w:val="18"/>
                <w:szCs w:val="18"/>
                <w:lang w:val="en-GB"/>
              </w:rPr>
              <w:t>Art. 16</w:t>
            </w:r>
            <w:r w:rsidR="002530AD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C7D01" w:rsidRPr="008057D8">
              <w:rPr>
                <w:rFonts w:ascii="Arial" w:hAnsi="Arial" w:cs="Arial"/>
                <w:sz w:val="18"/>
                <w:szCs w:val="18"/>
                <w:lang w:val="en-GB"/>
              </w:rPr>
              <w:t>requires a</w:t>
            </w:r>
            <w:r w:rsidR="002530AD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procedure for on board investigation of complaints. </w:t>
            </w:r>
            <w:r w:rsidR="00CA0630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6191" w:rsidRPr="008057D8">
              <w:rPr>
                <w:rFonts w:ascii="Arial" w:hAnsi="Arial" w:cs="Arial"/>
                <w:sz w:val="18"/>
                <w:szCs w:val="18"/>
                <w:lang w:val="en-GB"/>
              </w:rPr>
              <w:t>A copy of the on board complaints procedures must be given to every seafarer</w:t>
            </w:r>
            <w:r w:rsidR="00CA0630" w:rsidRPr="008057D8">
              <w:rPr>
                <w:rFonts w:ascii="Arial" w:hAnsi="Arial" w:cs="Arial"/>
                <w:sz w:val="18"/>
                <w:szCs w:val="18"/>
                <w:lang w:val="en-GB"/>
              </w:rPr>
              <w:t>. Complaints must be recorded and a copy of their resolution must be given to the complainant seafarer.</w:t>
            </w:r>
          </w:p>
        </w:tc>
      </w:tr>
      <w:tr w:rsidR="003D6D68" w:rsidRPr="002C37BB" w:rsidTr="002C37BB">
        <w:trPr>
          <w:trHeight w:val="287"/>
        </w:trPr>
        <w:tc>
          <w:tcPr>
            <w:tcW w:w="4554" w:type="dxa"/>
          </w:tcPr>
          <w:p w:rsidR="003D6D68" w:rsidRPr="002C37BB" w:rsidRDefault="00EF690D" w:rsidP="002C37BB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7BB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  <w:r w:rsidR="003C4716" w:rsidRPr="002C37BB">
              <w:rPr>
                <w:rFonts w:ascii="Arial" w:hAnsi="Arial" w:cs="Arial"/>
                <w:sz w:val="20"/>
                <w:szCs w:val="20"/>
                <w:lang w:val="en-GB"/>
              </w:rPr>
              <w:t xml:space="preserve"> Payment of wages (Regulation 2.2)</w:t>
            </w:r>
          </w:p>
        </w:tc>
        <w:tc>
          <w:tcPr>
            <w:tcW w:w="5193" w:type="dxa"/>
          </w:tcPr>
          <w:p w:rsidR="003D6D68" w:rsidRPr="008057D8" w:rsidRDefault="009503F3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>The ML</w:t>
            </w:r>
            <w:r w:rsidR="00F959C5">
              <w:rPr>
                <w:rFonts w:ascii="Arial" w:hAnsi="Arial" w:cs="Arial"/>
                <w:sz w:val="18"/>
                <w:szCs w:val="18"/>
                <w:lang w:val="en-GB"/>
              </w:rPr>
              <w:t>C, 2006 Ratification Law of 2012</w:t>
            </w:r>
            <w:r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D3935" w:rsidRPr="008057D8">
              <w:rPr>
                <w:rFonts w:ascii="Arial" w:hAnsi="Arial" w:cs="Arial"/>
                <w:sz w:val="18"/>
                <w:szCs w:val="18"/>
                <w:lang w:val="en-GB"/>
              </w:rPr>
              <w:t>Part VI</w:t>
            </w:r>
            <w:r w:rsidR="00DE2369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  <w:r w:rsidR="0015532D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45BE" w:rsidRPr="008057D8">
              <w:rPr>
                <w:rFonts w:ascii="Arial" w:hAnsi="Arial" w:cs="Arial"/>
                <w:sz w:val="18"/>
                <w:szCs w:val="18"/>
                <w:lang w:val="en-GB"/>
              </w:rPr>
              <w:t>set</w:t>
            </w:r>
            <w:r w:rsidR="0015532D" w:rsidRPr="008057D8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476651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 requirem</w:t>
            </w:r>
            <w:r w:rsidR="001B773E" w:rsidRPr="008057D8">
              <w:rPr>
                <w:rFonts w:ascii="Arial" w:hAnsi="Arial" w:cs="Arial"/>
                <w:sz w:val="18"/>
                <w:szCs w:val="18"/>
                <w:lang w:val="en-GB"/>
              </w:rPr>
              <w:t xml:space="preserve">ents for payment of wages. </w:t>
            </w:r>
            <w:r w:rsidR="00CA0630" w:rsidRPr="008057D8">
              <w:rPr>
                <w:rFonts w:ascii="Arial" w:hAnsi="Arial" w:cs="Arial"/>
                <w:sz w:val="18"/>
                <w:szCs w:val="18"/>
                <w:lang w:val="en-GB"/>
              </w:rPr>
              <w:t>Wages must be paid regularly and in full at no greater than monthly intervals.</w:t>
            </w:r>
          </w:p>
          <w:p w:rsidR="0028571F" w:rsidRPr="008057D8" w:rsidRDefault="0028571F" w:rsidP="002C37BB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2183F" w:rsidRPr="002C37BB" w:rsidTr="0042183F">
        <w:trPr>
          <w:trHeight w:val="2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F" w:rsidRDefault="0042183F" w:rsidP="00D832DE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1DB5">
              <w:rPr>
                <w:rFonts w:ascii="Arial" w:hAnsi="Arial" w:cs="Arial"/>
                <w:sz w:val="20"/>
                <w:szCs w:val="20"/>
                <w:lang w:val="en-GB"/>
              </w:rPr>
              <w:t>15. Financial security for repatriation (Regulation 2.5)</w:t>
            </w:r>
          </w:p>
          <w:p w:rsidR="0042183F" w:rsidRPr="002C37BB" w:rsidRDefault="0042183F" w:rsidP="00D832DE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F" w:rsidRPr="0042183F" w:rsidRDefault="0042183F" w:rsidP="0042183F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>The amendments of 2014 to the Code of the Maritime Labour Convention 2006, in respect of the Financial Security for repatriation of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seafarers</w:t>
            </w: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, have been adopted by the </w:t>
            </w:r>
            <w:r w:rsidRPr="00016773">
              <w:rPr>
                <w:rFonts w:ascii="Arial" w:hAnsi="Arial" w:cs="Arial"/>
                <w:sz w:val="18"/>
                <w:szCs w:val="18"/>
              </w:rPr>
              <w:t xml:space="preserve">Shipping </w:t>
            </w:r>
            <w:r w:rsidR="00291309">
              <w:rPr>
                <w:rFonts w:ascii="Arial" w:hAnsi="Arial" w:cs="Arial"/>
                <w:sz w:val="18"/>
                <w:szCs w:val="18"/>
              </w:rPr>
              <w:t>Deputy Ministry</w:t>
            </w: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under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the Tacit Acceptance procedure</w:t>
            </w:r>
            <w:r w:rsidR="00291309">
              <w:rPr>
                <w:rFonts w:ascii="Arial" w:hAnsi="Arial" w:cs="Arial"/>
                <w:sz w:val="18"/>
                <w:szCs w:val="18"/>
                <w:lang w:val="en-GB"/>
              </w:rPr>
              <w:t>, see relevant </w:t>
            </w:r>
            <w:r w:rsidR="00114EAF">
              <w:rPr>
                <w:rFonts w:ascii="Arial" w:hAnsi="Arial" w:cs="Arial"/>
                <w:sz w:val="18"/>
                <w:szCs w:val="18"/>
                <w:lang w:val="en-GB"/>
              </w:rPr>
              <w:t>SDM</w:t>
            </w: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Circular No.37/2016.</w:t>
            </w:r>
          </w:p>
          <w:p w:rsidR="0042183F" w:rsidRPr="008057D8" w:rsidRDefault="00291309" w:rsidP="00291309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Shipowner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shall provide financial </w:t>
            </w:r>
            <w:r w:rsidR="0042183F" w:rsidRPr="0042183F">
              <w:rPr>
                <w:rFonts w:ascii="Arial" w:hAnsi="Arial" w:cs="Arial"/>
                <w:sz w:val="18"/>
                <w:szCs w:val="18"/>
                <w:lang w:val="en-GB"/>
              </w:rPr>
              <w:t>security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accordance with the requirements of</w:t>
            </w:r>
            <w:r w:rsidR="0042183F"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Standard (2.5)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Said financial security </w:t>
            </w:r>
            <w:r w:rsidR="0042183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shall </w:t>
            </w:r>
            <w:r w:rsidR="0042183F" w:rsidRPr="0042183F">
              <w:rPr>
                <w:rFonts w:ascii="Arial" w:hAnsi="Arial" w:cs="Arial"/>
                <w:sz w:val="18"/>
                <w:szCs w:val="18"/>
                <w:lang w:val="en-GB"/>
              </w:rPr>
              <w:t>provide direct access and sufficient coverage to any abandoned seafarer.</w:t>
            </w:r>
          </w:p>
        </w:tc>
      </w:tr>
      <w:tr w:rsidR="0042183F" w:rsidRPr="002C37BB" w:rsidTr="0042183F">
        <w:trPr>
          <w:trHeight w:val="2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F" w:rsidRDefault="0042183F" w:rsidP="00D832DE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1DB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16. Financial security relating to ship owners’ liability (Regulation 4.2)</w:t>
            </w:r>
          </w:p>
          <w:p w:rsidR="0042183F" w:rsidRPr="002C37BB" w:rsidRDefault="0042183F" w:rsidP="00D832DE">
            <w:pPr>
              <w:tabs>
                <w:tab w:val="num" w:pos="8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F" w:rsidRPr="0042183F" w:rsidRDefault="0042183F" w:rsidP="0042183F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The amendments of 2014 to the Code of </w:t>
            </w:r>
            <w:proofErr w:type="gramStart"/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>the  Maritime</w:t>
            </w:r>
            <w:proofErr w:type="gramEnd"/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Labour Convention 2006, in respect of the Financial Security  for ship owners liability , have been adopted by the </w:t>
            </w:r>
            <w:r w:rsidR="00114EAF">
              <w:rPr>
                <w:rFonts w:ascii="Arial" w:hAnsi="Arial" w:cs="Arial"/>
                <w:sz w:val="18"/>
                <w:szCs w:val="18"/>
                <w:lang w:val="en-GB"/>
              </w:rPr>
              <w:t>SDM</w:t>
            </w: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under the Tacit Acceptance procedure  , see relevant  </w:t>
            </w:r>
            <w:r w:rsidR="00114EAF">
              <w:rPr>
                <w:rFonts w:ascii="Arial" w:hAnsi="Arial" w:cs="Arial"/>
                <w:sz w:val="18"/>
                <w:szCs w:val="18"/>
                <w:lang w:val="en-GB"/>
              </w:rPr>
              <w:t>SDM</w:t>
            </w: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Circular No.37/2016.</w:t>
            </w:r>
          </w:p>
          <w:p w:rsidR="0042183F" w:rsidRPr="008057D8" w:rsidRDefault="0042183F" w:rsidP="0042183F">
            <w:pPr>
              <w:tabs>
                <w:tab w:val="num" w:pos="85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Said financial security is provided for </w:t>
            </w:r>
            <w:proofErr w:type="gramStart"/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>seafarers</w:t>
            </w:r>
            <w:proofErr w:type="gramEnd"/>
            <w:r w:rsidRPr="0042183F">
              <w:rPr>
                <w:rFonts w:ascii="Arial" w:hAnsi="Arial" w:cs="Arial"/>
                <w:sz w:val="18"/>
                <w:szCs w:val="18"/>
                <w:lang w:val="en-GB"/>
              </w:rPr>
              <w:t xml:space="preserve"> claims for compensation in the event of death or long –term disability due to an occupational injury, illness or hazard.</w:t>
            </w:r>
          </w:p>
        </w:tc>
      </w:tr>
    </w:tbl>
    <w:p w:rsidR="0093248E" w:rsidRPr="0042183F" w:rsidRDefault="0093248E" w:rsidP="00804BB0">
      <w:pPr>
        <w:rPr>
          <w:rFonts w:ascii="Arial" w:hAnsi="Arial" w:cs="Arial"/>
          <w:sz w:val="20"/>
          <w:szCs w:val="20"/>
        </w:rPr>
      </w:pPr>
    </w:p>
    <w:p w:rsidR="009F333F" w:rsidRPr="00564464" w:rsidRDefault="00E02F08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Name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:  </w:t>
      </w:r>
      <w:r w:rsidR="00AF2ADC">
        <w:rPr>
          <w:rFonts w:ascii="Arial" w:hAnsi="Arial" w:cs="Arial"/>
          <w:sz w:val="20"/>
          <w:szCs w:val="20"/>
          <w:lang w:val="en-GB"/>
        </w:rPr>
        <w:t xml:space="preserve"> </w:t>
      </w:r>
      <w:r w:rsidR="001D65B8" w:rsidRPr="00564464">
        <w:rPr>
          <w:rFonts w:ascii="Arial" w:hAnsi="Arial" w:cs="Arial"/>
          <w:sz w:val="20"/>
          <w:szCs w:val="20"/>
          <w:lang w:val="en-GB"/>
        </w:rPr>
        <w:t xml:space="preserve">  …………………………………………</w:t>
      </w:r>
      <w:proofErr w:type="gramEnd"/>
    </w:p>
    <w:p w:rsidR="001D65B8" w:rsidRPr="00564464" w:rsidRDefault="00E02F08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Title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1D65B8" w:rsidRPr="00564464">
        <w:rPr>
          <w:rFonts w:ascii="Arial" w:hAnsi="Arial" w:cs="Arial"/>
          <w:sz w:val="20"/>
          <w:szCs w:val="20"/>
          <w:lang w:val="en-GB"/>
        </w:rPr>
        <w:t xml:space="preserve">  …………………………………………..</w:t>
      </w:r>
      <w:proofErr w:type="gramEnd"/>
    </w:p>
    <w:p w:rsidR="001D65B8" w:rsidRPr="00564464" w:rsidRDefault="001D65B8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Signature: ………………………………………</w:t>
      </w:r>
    </w:p>
    <w:p w:rsidR="001D65B8" w:rsidRPr="00564464" w:rsidRDefault="001D65B8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Place ……………………………………………</w:t>
      </w:r>
    </w:p>
    <w:p w:rsidR="001D65B8" w:rsidRPr="00564464" w:rsidRDefault="001D65B8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Date: …………………………………………….</w:t>
      </w:r>
    </w:p>
    <w:p w:rsidR="001D65B8" w:rsidRPr="00564464" w:rsidRDefault="001D65B8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(Seal or stamp of the authority, as appropriate)</w:t>
      </w:r>
    </w:p>
    <w:p w:rsidR="00FF0682" w:rsidRDefault="00FF0682" w:rsidP="00FF0682">
      <w:pPr>
        <w:pBdr>
          <w:bottom w:val="single" w:sz="4" w:space="1" w:color="auto"/>
        </w:pBdr>
        <w:ind w:firstLine="342"/>
        <w:rPr>
          <w:rFonts w:ascii="Arial" w:hAnsi="Arial" w:cs="Arial"/>
          <w:sz w:val="20"/>
          <w:szCs w:val="20"/>
          <w:lang w:val="en-GB"/>
        </w:rPr>
      </w:pPr>
    </w:p>
    <w:p w:rsidR="00FF0682" w:rsidRDefault="00FF0682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040E0D" w:rsidRPr="00564464" w:rsidRDefault="00040E0D" w:rsidP="00040E0D">
      <w:pPr>
        <w:ind w:firstLine="34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64464">
        <w:rPr>
          <w:rFonts w:ascii="Arial" w:hAnsi="Arial" w:cs="Arial"/>
          <w:b/>
          <w:sz w:val="20"/>
          <w:szCs w:val="20"/>
          <w:lang w:val="en-GB"/>
        </w:rPr>
        <w:t>Substantial equivalencies</w:t>
      </w:r>
    </w:p>
    <w:p w:rsidR="00040E0D" w:rsidRPr="00564464" w:rsidRDefault="00040E0D" w:rsidP="00040E0D">
      <w:pPr>
        <w:ind w:firstLine="342"/>
        <w:jc w:val="center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(</w:t>
      </w:r>
      <w:r w:rsidRPr="00564464">
        <w:rPr>
          <w:rFonts w:ascii="Arial" w:hAnsi="Arial" w:cs="Arial"/>
          <w:i/>
          <w:sz w:val="20"/>
          <w:szCs w:val="20"/>
          <w:lang w:val="en-GB"/>
        </w:rPr>
        <w:t>Note: Strike out the statement which is not applicable</w:t>
      </w:r>
      <w:r w:rsidRPr="00564464">
        <w:rPr>
          <w:rFonts w:ascii="Arial" w:hAnsi="Arial" w:cs="Arial"/>
          <w:sz w:val="20"/>
          <w:szCs w:val="20"/>
          <w:lang w:val="en-GB"/>
        </w:rPr>
        <w:t>)</w:t>
      </w:r>
    </w:p>
    <w:p w:rsidR="00040E0D" w:rsidRPr="00564464" w:rsidRDefault="00040E0D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Pr="00564464" w:rsidRDefault="002F0F87" w:rsidP="00230AD3">
      <w:pPr>
        <w:ind w:left="342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The following substantial equivalencies, as provided under Article VI, paragraphs 3 and 4, of the Convention, except where stated above, are noted (insert description if applicable):</w:t>
      </w: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</w:t>
      </w: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</w:t>
      </w:r>
    </w:p>
    <w:p w:rsidR="002F0F87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FF0682" w:rsidRDefault="00FF0682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FF0682" w:rsidRPr="00564464" w:rsidRDefault="00FF0682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No equivalency has been granted.</w:t>
      </w:r>
    </w:p>
    <w:p w:rsidR="00040E0D" w:rsidRPr="00564464" w:rsidRDefault="00040E0D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Name</w:t>
      </w:r>
      <w:proofErr w:type="gramStart"/>
      <w:r w:rsidRPr="00564464">
        <w:rPr>
          <w:rFonts w:ascii="Arial" w:hAnsi="Arial" w:cs="Arial"/>
          <w:sz w:val="20"/>
          <w:szCs w:val="20"/>
          <w:lang w:val="en-GB"/>
        </w:rPr>
        <w:t>:</w:t>
      </w:r>
      <w:r w:rsidR="00AF2ADC">
        <w:rPr>
          <w:rFonts w:ascii="Arial" w:hAnsi="Arial" w:cs="Arial"/>
          <w:sz w:val="20"/>
          <w:szCs w:val="20"/>
          <w:lang w:val="en-GB"/>
        </w:rPr>
        <w:t xml:space="preserve">  </w:t>
      </w:r>
      <w:r w:rsidRPr="00564464">
        <w:rPr>
          <w:rFonts w:ascii="Arial" w:hAnsi="Arial" w:cs="Arial"/>
          <w:sz w:val="20"/>
          <w:szCs w:val="20"/>
          <w:lang w:val="en-GB"/>
        </w:rPr>
        <w:t xml:space="preserve">  …………………………………………</w:t>
      </w:r>
      <w:proofErr w:type="gramEnd"/>
    </w:p>
    <w:p w:rsidR="00040E0D" w:rsidRPr="00564464" w:rsidRDefault="00AF2ADC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Title</w:t>
      </w:r>
      <w:proofErr w:type="gramStart"/>
      <w:r w:rsidR="00040E0D" w:rsidRPr="0056446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="00040E0D" w:rsidRPr="00564464">
        <w:rPr>
          <w:rFonts w:ascii="Arial" w:hAnsi="Arial" w:cs="Arial"/>
          <w:sz w:val="20"/>
          <w:szCs w:val="20"/>
          <w:lang w:val="en-GB"/>
        </w:rPr>
        <w:t xml:space="preserve">  …………………………………………..</w:t>
      </w:r>
      <w:proofErr w:type="gramEnd"/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Signature: ………………………………………</w:t>
      </w:r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Place ……………………………………………</w:t>
      </w:r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Date: …………………………………………….</w:t>
      </w:r>
    </w:p>
    <w:p w:rsidR="00040E0D" w:rsidRPr="00564464" w:rsidRDefault="00040E0D" w:rsidP="00040E0D">
      <w:pPr>
        <w:ind w:left="4239" w:firstLine="720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(Seal or stamp of the authority, as appropriate)</w:t>
      </w:r>
    </w:p>
    <w:p w:rsidR="00040E0D" w:rsidRDefault="00040E0D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0C4BC3" w:rsidRDefault="000C4BC3" w:rsidP="00FF0682">
      <w:pPr>
        <w:pBdr>
          <w:bottom w:val="single" w:sz="4" w:space="1" w:color="auto"/>
        </w:pBdr>
        <w:ind w:firstLine="342"/>
        <w:rPr>
          <w:rFonts w:ascii="Arial" w:hAnsi="Arial" w:cs="Arial"/>
          <w:sz w:val="20"/>
          <w:szCs w:val="20"/>
          <w:lang w:val="en-GB"/>
        </w:rPr>
      </w:pPr>
    </w:p>
    <w:p w:rsidR="00FF0682" w:rsidRDefault="00FF0682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Pr="00564464" w:rsidRDefault="002F0F87" w:rsidP="00040E0D">
      <w:pPr>
        <w:ind w:firstLine="34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64464">
        <w:rPr>
          <w:rFonts w:ascii="Arial" w:hAnsi="Arial" w:cs="Arial"/>
          <w:b/>
          <w:sz w:val="20"/>
          <w:szCs w:val="20"/>
          <w:lang w:val="en-GB"/>
        </w:rPr>
        <w:t>Exemptions</w:t>
      </w:r>
    </w:p>
    <w:p w:rsidR="002F0F87" w:rsidRPr="00FF0682" w:rsidRDefault="002F0F87" w:rsidP="00040E0D">
      <w:pPr>
        <w:ind w:firstLine="342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FF0682">
        <w:rPr>
          <w:rFonts w:ascii="Arial" w:hAnsi="Arial" w:cs="Arial"/>
          <w:i/>
          <w:sz w:val="20"/>
          <w:szCs w:val="20"/>
          <w:lang w:val="en-GB"/>
        </w:rPr>
        <w:t>(Note: Strike out the main statement which is not applicable)</w:t>
      </w: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Default="002F0F87" w:rsidP="00040E0D">
      <w:pPr>
        <w:ind w:left="342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 xml:space="preserve">The following exemptions granted by the competent authority as provided in Title 3 of the Convention are </w:t>
      </w:r>
      <w:proofErr w:type="gramStart"/>
      <w:r w:rsidRPr="00564464">
        <w:rPr>
          <w:rFonts w:ascii="Arial" w:hAnsi="Arial" w:cs="Arial"/>
          <w:sz w:val="20"/>
          <w:szCs w:val="20"/>
          <w:lang w:val="en-GB"/>
        </w:rPr>
        <w:t>noted :</w:t>
      </w:r>
      <w:proofErr w:type="gramEnd"/>
    </w:p>
    <w:p w:rsidR="005B3564" w:rsidRDefault="005B3564" w:rsidP="00040E0D">
      <w:pPr>
        <w:ind w:left="342"/>
        <w:rPr>
          <w:rFonts w:ascii="Arial" w:hAnsi="Arial" w:cs="Arial"/>
          <w:sz w:val="20"/>
          <w:szCs w:val="20"/>
          <w:lang w:val="en-GB"/>
        </w:rPr>
      </w:pPr>
    </w:p>
    <w:p w:rsidR="005B3564" w:rsidRDefault="005B3564" w:rsidP="00040E0D">
      <w:pPr>
        <w:ind w:left="342"/>
        <w:rPr>
          <w:rFonts w:ascii="Arial" w:hAnsi="Arial" w:cs="Arial"/>
          <w:sz w:val="20"/>
          <w:szCs w:val="20"/>
          <w:lang w:val="en-GB"/>
        </w:rPr>
      </w:pPr>
    </w:p>
    <w:p w:rsidR="008057D8" w:rsidRDefault="008057D8" w:rsidP="008057D8">
      <w:pPr>
        <w:rPr>
          <w:rFonts w:ascii="Arial" w:hAnsi="Arial" w:cs="Arial"/>
          <w:sz w:val="20"/>
          <w:szCs w:val="20"/>
          <w:lang w:val="en-GB"/>
        </w:rPr>
      </w:pPr>
    </w:p>
    <w:p w:rsidR="008057D8" w:rsidRDefault="008057D8" w:rsidP="008057D8">
      <w:pPr>
        <w:rPr>
          <w:rFonts w:ascii="Arial" w:hAnsi="Arial" w:cs="Arial"/>
          <w:sz w:val="20"/>
          <w:szCs w:val="20"/>
          <w:lang w:val="en-GB"/>
        </w:rPr>
      </w:pPr>
    </w:p>
    <w:p w:rsidR="002F0F87" w:rsidRDefault="002F0F87" w:rsidP="008057D8">
      <w:pPr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No exemption has been granted.</w:t>
      </w:r>
    </w:p>
    <w:p w:rsidR="004A23EF" w:rsidRPr="00564464" w:rsidRDefault="004A23EF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2F0F87" w:rsidRPr="00564464" w:rsidRDefault="002F0F87" w:rsidP="00A450C7">
      <w:pPr>
        <w:ind w:firstLine="342"/>
        <w:rPr>
          <w:rFonts w:ascii="Arial" w:hAnsi="Arial" w:cs="Arial"/>
          <w:sz w:val="20"/>
          <w:szCs w:val="20"/>
          <w:lang w:val="en-GB"/>
        </w:rPr>
      </w:pPr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Name</w:t>
      </w:r>
      <w:proofErr w:type="gramStart"/>
      <w:r w:rsidRPr="00564464">
        <w:rPr>
          <w:rFonts w:ascii="Arial" w:hAnsi="Arial" w:cs="Arial"/>
          <w:sz w:val="20"/>
          <w:szCs w:val="20"/>
          <w:lang w:val="en-GB"/>
        </w:rPr>
        <w:t>:  …………………………………………</w:t>
      </w:r>
      <w:proofErr w:type="gramEnd"/>
    </w:p>
    <w:p w:rsidR="00040E0D" w:rsidRPr="00564464" w:rsidRDefault="00AF2ADC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Title</w:t>
      </w:r>
      <w:proofErr w:type="gramStart"/>
      <w:r w:rsidR="00040E0D" w:rsidRPr="00564464">
        <w:rPr>
          <w:rFonts w:ascii="Arial" w:hAnsi="Arial" w:cs="Arial"/>
          <w:sz w:val="20"/>
          <w:szCs w:val="20"/>
          <w:lang w:val="en-GB"/>
        </w:rPr>
        <w:t>:  …………………………………………..</w:t>
      </w:r>
      <w:proofErr w:type="gramEnd"/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Signature: ………………………………………</w:t>
      </w:r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Place ……………………………………………</w:t>
      </w:r>
    </w:p>
    <w:p w:rsidR="00040E0D" w:rsidRPr="00564464" w:rsidRDefault="00040E0D" w:rsidP="00040E0D">
      <w:pPr>
        <w:ind w:left="4959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Date: …………………………………………….</w:t>
      </w:r>
    </w:p>
    <w:p w:rsidR="005C201F" w:rsidRPr="00564464" w:rsidRDefault="00040E0D" w:rsidP="00040E0D">
      <w:pPr>
        <w:ind w:left="4239" w:firstLine="720"/>
        <w:rPr>
          <w:rFonts w:ascii="Arial" w:hAnsi="Arial" w:cs="Arial"/>
          <w:sz w:val="20"/>
          <w:szCs w:val="20"/>
          <w:lang w:val="en-GB"/>
        </w:rPr>
      </w:pPr>
      <w:r w:rsidRPr="00564464">
        <w:rPr>
          <w:rFonts w:ascii="Arial" w:hAnsi="Arial" w:cs="Arial"/>
          <w:sz w:val="20"/>
          <w:szCs w:val="20"/>
          <w:lang w:val="en-GB"/>
        </w:rPr>
        <w:t>(Seal or stamp of the authority, as appropriate)</w:t>
      </w:r>
    </w:p>
    <w:p w:rsidR="008A1372" w:rsidRDefault="008A1372" w:rsidP="00F434A3">
      <w:pPr>
        <w:rPr>
          <w:rFonts w:ascii="Arial" w:hAnsi="Arial" w:cs="Arial"/>
          <w:b/>
          <w:sz w:val="28"/>
          <w:szCs w:val="28"/>
          <w:lang w:val="en-GB"/>
        </w:rPr>
      </w:pPr>
    </w:p>
    <w:p w:rsidR="00BF6F90" w:rsidRPr="00BD7B3F" w:rsidRDefault="00BF6F90" w:rsidP="00BD7B3F">
      <w:pPr>
        <w:jc w:val="both"/>
        <w:rPr>
          <w:rFonts w:ascii="Arial" w:hAnsi="Arial" w:cs="Arial"/>
          <w:sz w:val="16"/>
          <w:szCs w:val="16"/>
          <w:lang w:val="en-GB"/>
        </w:rPr>
      </w:pPr>
      <w:bookmarkStart w:id="1" w:name="_GoBack"/>
      <w:bookmarkEnd w:id="1"/>
      <w:r w:rsidRPr="00564464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BF6F90" w:rsidRPr="00BD7B3F" w:rsidSect="007708D0">
      <w:footerReference w:type="default" r:id="rId9"/>
      <w:pgSz w:w="11907" w:h="16840" w:code="9"/>
      <w:pgMar w:top="931" w:right="1134" w:bottom="1440" w:left="1026" w:header="709" w:footer="709" w:gutter="0"/>
      <w:paperSrc w:first="15" w:other="15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0B" w:rsidRDefault="00D54C0B" w:rsidP="00E33C32">
      <w:r>
        <w:separator/>
      </w:r>
    </w:p>
  </w:endnote>
  <w:endnote w:type="continuationSeparator" w:id="0">
    <w:p w:rsidR="00D54C0B" w:rsidRDefault="00D54C0B" w:rsidP="00E3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32" w:rsidRPr="0040038B" w:rsidRDefault="00E33C32">
    <w:pPr>
      <w:pStyle w:val="Footer"/>
      <w:rPr>
        <w:rFonts w:ascii="Arial" w:hAnsi="Arial" w:cs="Arial"/>
        <w:lang w:val="en-GB"/>
      </w:rPr>
    </w:pPr>
    <w:r w:rsidRPr="0040038B">
      <w:rPr>
        <w:rFonts w:ascii="Arial" w:hAnsi="Arial" w:cs="Arial"/>
        <w:sz w:val="22"/>
        <w:szCs w:val="22"/>
      </w:rPr>
      <w:t>E</w:t>
    </w:r>
    <w:r w:rsidR="0040038B" w:rsidRPr="0040038B">
      <w:rPr>
        <w:rFonts w:ascii="Arial" w:hAnsi="Arial" w:cs="Arial"/>
        <w:sz w:val="22"/>
        <w:szCs w:val="22"/>
      </w:rPr>
      <w:t>N</w:t>
    </w:r>
    <w:r w:rsidR="00423CB6">
      <w:rPr>
        <w:rFonts w:ascii="Arial" w:hAnsi="Arial" w:cs="Arial"/>
        <w:sz w:val="22"/>
        <w:szCs w:val="22"/>
      </w:rPr>
      <w:t>0</w:t>
    </w:r>
    <w:r w:rsidR="0040038B" w:rsidRPr="0040038B">
      <w:rPr>
        <w:rFonts w:ascii="Arial" w:hAnsi="Arial" w:cs="Arial"/>
        <w:sz w:val="22"/>
        <w:szCs w:val="22"/>
      </w:rPr>
      <w:t>8</w:t>
    </w:r>
    <w:r w:rsidRPr="0040038B">
      <w:rPr>
        <w:rFonts w:ascii="Arial" w:hAnsi="Arial" w:cs="Arial"/>
        <w:sz w:val="22"/>
        <w:szCs w:val="22"/>
      </w:rPr>
      <w:t>F0</w:t>
    </w:r>
    <w:r w:rsidR="0042183F" w:rsidRPr="0040038B">
      <w:rPr>
        <w:rFonts w:ascii="Arial" w:hAnsi="Arial" w:cs="Arial"/>
        <w:sz w:val="22"/>
        <w:szCs w:val="22"/>
        <w:lang w:val="en-GB"/>
      </w:rPr>
      <w:t>1/</w:t>
    </w:r>
    <w:r w:rsidR="00AD7C3E" w:rsidRPr="0040038B">
      <w:rPr>
        <w:rFonts w:ascii="Arial" w:hAnsi="Arial" w:cs="Arial"/>
        <w:sz w:val="22"/>
        <w:szCs w:val="22"/>
        <w:lang w:val="en-GB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0B" w:rsidRDefault="00D54C0B" w:rsidP="00E33C32">
      <w:r>
        <w:separator/>
      </w:r>
    </w:p>
  </w:footnote>
  <w:footnote w:type="continuationSeparator" w:id="0">
    <w:p w:rsidR="00D54C0B" w:rsidRDefault="00D54C0B" w:rsidP="00E3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09E"/>
    <w:multiLevelType w:val="hybridMultilevel"/>
    <w:tmpl w:val="BE764374"/>
    <w:lvl w:ilvl="0" w:tplc="2044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E1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42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2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48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4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2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01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2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585E58"/>
    <w:multiLevelType w:val="hybridMultilevel"/>
    <w:tmpl w:val="62862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7326D"/>
    <w:multiLevelType w:val="hybridMultilevel"/>
    <w:tmpl w:val="D95E9236"/>
    <w:lvl w:ilvl="0" w:tplc="D7FED0B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B018E"/>
    <w:multiLevelType w:val="hybridMultilevel"/>
    <w:tmpl w:val="897823FC"/>
    <w:lvl w:ilvl="0" w:tplc="C9E029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36705"/>
    <w:multiLevelType w:val="hybridMultilevel"/>
    <w:tmpl w:val="1D441C00"/>
    <w:lvl w:ilvl="0" w:tplc="C366D0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FC"/>
    <w:rsid w:val="00016773"/>
    <w:rsid w:val="000366B0"/>
    <w:rsid w:val="00040E0D"/>
    <w:rsid w:val="00061A6E"/>
    <w:rsid w:val="00093EA5"/>
    <w:rsid w:val="00094C5A"/>
    <w:rsid w:val="000963E1"/>
    <w:rsid w:val="000A171D"/>
    <w:rsid w:val="000A6390"/>
    <w:rsid w:val="000C0D50"/>
    <w:rsid w:val="000C4BC3"/>
    <w:rsid w:val="000C7983"/>
    <w:rsid w:val="000D298D"/>
    <w:rsid w:val="000E6191"/>
    <w:rsid w:val="000F2655"/>
    <w:rsid w:val="00114EAF"/>
    <w:rsid w:val="00115058"/>
    <w:rsid w:val="001344AE"/>
    <w:rsid w:val="00145989"/>
    <w:rsid w:val="0015532D"/>
    <w:rsid w:val="00164101"/>
    <w:rsid w:val="001B10EA"/>
    <w:rsid w:val="001B6A4E"/>
    <w:rsid w:val="001B773E"/>
    <w:rsid w:val="001D449E"/>
    <w:rsid w:val="001D65B8"/>
    <w:rsid w:val="001E43D0"/>
    <w:rsid w:val="001E5301"/>
    <w:rsid w:val="00215868"/>
    <w:rsid w:val="00220C1C"/>
    <w:rsid w:val="002233E5"/>
    <w:rsid w:val="002265BA"/>
    <w:rsid w:val="00230AD3"/>
    <w:rsid w:val="00232EE5"/>
    <w:rsid w:val="002530AD"/>
    <w:rsid w:val="00264164"/>
    <w:rsid w:val="00270A8A"/>
    <w:rsid w:val="00276EA9"/>
    <w:rsid w:val="0028571F"/>
    <w:rsid w:val="002905AB"/>
    <w:rsid w:val="00291309"/>
    <w:rsid w:val="002921FE"/>
    <w:rsid w:val="00294358"/>
    <w:rsid w:val="00297EDF"/>
    <w:rsid w:val="002A294C"/>
    <w:rsid w:val="002A657B"/>
    <w:rsid w:val="002A70AC"/>
    <w:rsid w:val="002A7818"/>
    <w:rsid w:val="002B40E4"/>
    <w:rsid w:val="002C37BB"/>
    <w:rsid w:val="002D2263"/>
    <w:rsid w:val="002D7D90"/>
    <w:rsid w:val="002E792A"/>
    <w:rsid w:val="002F0F87"/>
    <w:rsid w:val="002F1CDE"/>
    <w:rsid w:val="00313F8C"/>
    <w:rsid w:val="003159BE"/>
    <w:rsid w:val="003215A3"/>
    <w:rsid w:val="0033294F"/>
    <w:rsid w:val="00340F13"/>
    <w:rsid w:val="00342DC2"/>
    <w:rsid w:val="0035305A"/>
    <w:rsid w:val="003836E3"/>
    <w:rsid w:val="003945BE"/>
    <w:rsid w:val="00396187"/>
    <w:rsid w:val="003A4A1F"/>
    <w:rsid w:val="003B1B94"/>
    <w:rsid w:val="003B2C87"/>
    <w:rsid w:val="003B5B40"/>
    <w:rsid w:val="003B7902"/>
    <w:rsid w:val="003C4716"/>
    <w:rsid w:val="003D3E67"/>
    <w:rsid w:val="003D6D68"/>
    <w:rsid w:val="003F2F30"/>
    <w:rsid w:val="0040038B"/>
    <w:rsid w:val="004163C7"/>
    <w:rsid w:val="0042183F"/>
    <w:rsid w:val="0042235A"/>
    <w:rsid w:val="00423938"/>
    <w:rsid w:val="00423CB6"/>
    <w:rsid w:val="00444494"/>
    <w:rsid w:val="00476651"/>
    <w:rsid w:val="0048443B"/>
    <w:rsid w:val="004860C3"/>
    <w:rsid w:val="0048748A"/>
    <w:rsid w:val="004935D9"/>
    <w:rsid w:val="004940B7"/>
    <w:rsid w:val="00497EA2"/>
    <w:rsid w:val="004A23EF"/>
    <w:rsid w:val="004C73F0"/>
    <w:rsid w:val="005044EF"/>
    <w:rsid w:val="0050780A"/>
    <w:rsid w:val="005151A2"/>
    <w:rsid w:val="0052431E"/>
    <w:rsid w:val="00524695"/>
    <w:rsid w:val="00527763"/>
    <w:rsid w:val="0053020A"/>
    <w:rsid w:val="005336A0"/>
    <w:rsid w:val="005578D6"/>
    <w:rsid w:val="00560ED8"/>
    <w:rsid w:val="00564464"/>
    <w:rsid w:val="00583A52"/>
    <w:rsid w:val="005B3564"/>
    <w:rsid w:val="005B4348"/>
    <w:rsid w:val="005C201F"/>
    <w:rsid w:val="005E1BDB"/>
    <w:rsid w:val="005E53B2"/>
    <w:rsid w:val="005F6D8C"/>
    <w:rsid w:val="0060582C"/>
    <w:rsid w:val="0061024A"/>
    <w:rsid w:val="00614632"/>
    <w:rsid w:val="0063438A"/>
    <w:rsid w:val="006411AD"/>
    <w:rsid w:val="00643CE8"/>
    <w:rsid w:val="00653D63"/>
    <w:rsid w:val="00657669"/>
    <w:rsid w:val="00666E21"/>
    <w:rsid w:val="00666FDA"/>
    <w:rsid w:val="00667984"/>
    <w:rsid w:val="00671D46"/>
    <w:rsid w:val="00682E17"/>
    <w:rsid w:val="00694D7B"/>
    <w:rsid w:val="006B7D10"/>
    <w:rsid w:val="006C7D01"/>
    <w:rsid w:val="006C7D3A"/>
    <w:rsid w:val="006D196B"/>
    <w:rsid w:val="006E1F9E"/>
    <w:rsid w:val="006E4CB4"/>
    <w:rsid w:val="006F7A91"/>
    <w:rsid w:val="007642C4"/>
    <w:rsid w:val="007708D0"/>
    <w:rsid w:val="00772797"/>
    <w:rsid w:val="0077510B"/>
    <w:rsid w:val="007A53F2"/>
    <w:rsid w:val="007D58D5"/>
    <w:rsid w:val="007F4925"/>
    <w:rsid w:val="007F7970"/>
    <w:rsid w:val="00801469"/>
    <w:rsid w:val="00802679"/>
    <w:rsid w:val="00804BB0"/>
    <w:rsid w:val="0080505A"/>
    <w:rsid w:val="008057D8"/>
    <w:rsid w:val="00820A39"/>
    <w:rsid w:val="00820D59"/>
    <w:rsid w:val="008516CA"/>
    <w:rsid w:val="008540EB"/>
    <w:rsid w:val="00874CF1"/>
    <w:rsid w:val="00877B56"/>
    <w:rsid w:val="00893BF3"/>
    <w:rsid w:val="008A1372"/>
    <w:rsid w:val="008B53C8"/>
    <w:rsid w:val="008C0C3C"/>
    <w:rsid w:val="008E7ED4"/>
    <w:rsid w:val="008F558D"/>
    <w:rsid w:val="0090001B"/>
    <w:rsid w:val="00907B25"/>
    <w:rsid w:val="00907B32"/>
    <w:rsid w:val="009319CF"/>
    <w:rsid w:val="009323A5"/>
    <w:rsid w:val="0093248E"/>
    <w:rsid w:val="009503F3"/>
    <w:rsid w:val="009507FD"/>
    <w:rsid w:val="0098160B"/>
    <w:rsid w:val="00981BB0"/>
    <w:rsid w:val="00986137"/>
    <w:rsid w:val="009B71BD"/>
    <w:rsid w:val="009C5E40"/>
    <w:rsid w:val="009E0CB5"/>
    <w:rsid w:val="009E3EC3"/>
    <w:rsid w:val="009E4EB4"/>
    <w:rsid w:val="009E6507"/>
    <w:rsid w:val="009F333F"/>
    <w:rsid w:val="00A06B57"/>
    <w:rsid w:val="00A205AD"/>
    <w:rsid w:val="00A22F8C"/>
    <w:rsid w:val="00A327D7"/>
    <w:rsid w:val="00A450C7"/>
    <w:rsid w:val="00A54A98"/>
    <w:rsid w:val="00A56735"/>
    <w:rsid w:val="00AA3E56"/>
    <w:rsid w:val="00AA6E35"/>
    <w:rsid w:val="00AB05EF"/>
    <w:rsid w:val="00AB2CF7"/>
    <w:rsid w:val="00AD2077"/>
    <w:rsid w:val="00AD37F8"/>
    <w:rsid w:val="00AD7C3E"/>
    <w:rsid w:val="00AF2ADC"/>
    <w:rsid w:val="00AF4B2D"/>
    <w:rsid w:val="00B0115C"/>
    <w:rsid w:val="00B02EBB"/>
    <w:rsid w:val="00B17A03"/>
    <w:rsid w:val="00B3772E"/>
    <w:rsid w:val="00B66AF0"/>
    <w:rsid w:val="00B71F31"/>
    <w:rsid w:val="00B75824"/>
    <w:rsid w:val="00B81157"/>
    <w:rsid w:val="00B818BF"/>
    <w:rsid w:val="00B8701C"/>
    <w:rsid w:val="00B9175F"/>
    <w:rsid w:val="00B93369"/>
    <w:rsid w:val="00BA08AF"/>
    <w:rsid w:val="00BA1EE7"/>
    <w:rsid w:val="00BA5A99"/>
    <w:rsid w:val="00BA5B61"/>
    <w:rsid w:val="00BD7B3F"/>
    <w:rsid w:val="00BE6083"/>
    <w:rsid w:val="00BF6F90"/>
    <w:rsid w:val="00C13752"/>
    <w:rsid w:val="00C149EA"/>
    <w:rsid w:val="00C21027"/>
    <w:rsid w:val="00C237F4"/>
    <w:rsid w:val="00C3529A"/>
    <w:rsid w:val="00C4208E"/>
    <w:rsid w:val="00C47A61"/>
    <w:rsid w:val="00C528E9"/>
    <w:rsid w:val="00C61F97"/>
    <w:rsid w:val="00C62D6C"/>
    <w:rsid w:val="00CA0630"/>
    <w:rsid w:val="00CA73CE"/>
    <w:rsid w:val="00CD3935"/>
    <w:rsid w:val="00CE4A9B"/>
    <w:rsid w:val="00CE6988"/>
    <w:rsid w:val="00CF0CED"/>
    <w:rsid w:val="00D3352D"/>
    <w:rsid w:val="00D37B58"/>
    <w:rsid w:val="00D4336A"/>
    <w:rsid w:val="00D54C0B"/>
    <w:rsid w:val="00D603EF"/>
    <w:rsid w:val="00D73CBE"/>
    <w:rsid w:val="00DC4D93"/>
    <w:rsid w:val="00DE2369"/>
    <w:rsid w:val="00DE2CDC"/>
    <w:rsid w:val="00DF1715"/>
    <w:rsid w:val="00DF7387"/>
    <w:rsid w:val="00E02F08"/>
    <w:rsid w:val="00E132DD"/>
    <w:rsid w:val="00E33808"/>
    <w:rsid w:val="00E33C32"/>
    <w:rsid w:val="00E34D48"/>
    <w:rsid w:val="00E368EE"/>
    <w:rsid w:val="00E423B7"/>
    <w:rsid w:val="00E54494"/>
    <w:rsid w:val="00E719C0"/>
    <w:rsid w:val="00E74318"/>
    <w:rsid w:val="00EB4C65"/>
    <w:rsid w:val="00EE0AFC"/>
    <w:rsid w:val="00EF35FF"/>
    <w:rsid w:val="00EF3C48"/>
    <w:rsid w:val="00EF690D"/>
    <w:rsid w:val="00F240E1"/>
    <w:rsid w:val="00F434A3"/>
    <w:rsid w:val="00F45BD4"/>
    <w:rsid w:val="00F45F67"/>
    <w:rsid w:val="00F71D7F"/>
    <w:rsid w:val="00F90253"/>
    <w:rsid w:val="00F94CC0"/>
    <w:rsid w:val="00F959C5"/>
    <w:rsid w:val="00F9644F"/>
    <w:rsid w:val="00FC1A60"/>
    <w:rsid w:val="00FE040A"/>
    <w:rsid w:val="00FE46C4"/>
    <w:rsid w:val="00FF068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B479E-2653-40DB-9851-8FB8139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03A6-BBDB-4A16-954E-6473AA1C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Coastguard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shjudge</dc:creator>
  <cp:lastModifiedBy>Michalis Loumpas</cp:lastModifiedBy>
  <cp:revision>3</cp:revision>
  <cp:lastPrinted>2021-12-16T06:55:00Z</cp:lastPrinted>
  <dcterms:created xsi:type="dcterms:W3CDTF">2021-12-23T08:35:00Z</dcterms:created>
  <dcterms:modified xsi:type="dcterms:W3CDTF">2022-04-15T09:37:00Z</dcterms:modified>
</cp:coreProperties>
</file>